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CBCC" w14:textId="26356391" w:rsidR="004527C1" w:rsidRPr="0084733D" w:rsidRDefault="00C7793F">
      <w:pPr>
        <w:pStyle w:val="CABEZA"/>
        <w:rPr>
          <w:rFonts w:cs="Times New Roman"/>
        </w:rPr>
      </w:pPr>
      <w:r>
        <w:rPr>
          <w:rFonts w:cs="Times New Roman"/>
        </w:rPr>
        <w:t xml:space="preserve"> </w:t>
      </w:r>
      <w:r w:rsidR="004527C1" w:rsidRPr="0084733D">
        <w:rPr>
          <w:rFonts w:cs="Times New Roman"/>
        </w:rPr>
        <w:t>SECRETARIA DE HACIENDA Y CREDITO PUBLICO</w:t>
      </w:r>
    </w:p>
    <w:p w14:paraId="424E3CC8" w14:textId="77777777" w:rsidR="004527C1" w:rsidRPr="0084733D" w:rsidRDefault="004527C1" w:rsidP="004527C1">
      <w:pPr>
        <w:pStyle w:val="Titulo1"/>
        <w:rPr>
          <w:rFonts w:cs="Times New Roman"/>
        </w:rPr>
      </w:pPr>
      <w:r w:rsidRPr="0084733D">
        <w:rPr>
          <w:rFonts w:cs="Times New Roman"/>
        </w:rPr>
        <w:t xml:space="preserve">SÉPTIMA Resolución de Modificaciones a la Resolución Miscelánea Fiscal para 2023 y </w:t>
      </w:r>
      <w:r w:rsidR="00E25A48" w:rsidRPr="0084733D">
        <w:rPr>
          <w:rFonts w:cs="Times New Roman"/>
        </w:rPr>
        <w:t xml:space="preserve">sus </w:t>
      </w:r>
      <w:r w:rsidRPr="0084733D">
        <w:rPr>
          <w:rFonts w:cs="Times New Roman"/>
        </w:rPr>
        <w:t>Anexos 3 y 23.</w:t>
      </w:r>
    </w:p>
    <w:p w14:paraId="4E7E9F2B" w14:textId="77777777" w:rsidR="004527C1" w:rsidRPr="0084733D" w:rsidRDefault="004527C1">
      <w:pPr>
        <w:pStyle w:val="Titulo2"/>
      </w:pPr>
      <w:r w:rsidRPr="0084733D">
        <w:t>Al margen un sello con el Escudo Nacional, que dice: Estados Unidos Mexicanos.- HACIENDA.- Secretaría de Hacienda y Crédito Público.- Servicio de Administración Tributaria.</w:t>
      </w:r>
    </w:p>
    <w:p w14:paraId="6AAD1EA4" w14:textId="77777777" w:rsidR="00147D87" w:rsidRDefault="00147D87" w:rsidP="004527C1">
      <w:pPr>
        <w:pStyle w:val="ANOTACION"/>
      </w:pPr>
      <w:r w:rsidRPr="009A7B7D">
        <w:t>SÉPTIMA RESOLUCIÓN DE MODIFICACIONES A LA RESOLUCIÓN MISCELÁNEA FISCAL PARA 2023 Y ANEXOS 1-A, 3, 14, 15 y 23</w:t>
      </w:r>
    </w:p>
    <w:p w14:paraId="0E7D7A9C" w14:textId="77777777" w:rsidR="00147D87" w:rsidRDefault="00147D87" w:rsidP="00226B32">
      <w:pPr>
        <w:pStyle w:val="texto0"/>
        <w:spacing w:after="80" w:line="210" w:lineRule="exact"/>
      </w:pPr>
      <w:r w:rsidRPr="009A7B7D">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7ED55DE7" w14:textId="77777777" w:rsidR="00147D87" w:rsidRPr="009A7B7D" w:rsidRDefault="00147D87" w:rsidP="00226B32">
      <w:pPr>
        <w:pStyle w:val="texto0"/>
        <w:spacing w:after="80" w:line="210" w:lineRule="exact"/>
      </w:pPr>
      <w:r w:rsidRPr="009A7B7D">
        <w:rPr>
          <w:b/>
        </w:rPr>
        <w:t xml:space="preserve">PRIMERO. Se reforman </w:t>
      </w:r>
      <w:r w:rsidRPr="009A7B7D">
        <w:t xml:space="preserve">las reglas 1.6., segundo párrafo, fracción IV, segundo párrafo; 2.5.3., primer párrafo; 2.5.21., primer párrafo; 2.7.2.10., tercer párrafo, fracciones VI y VIII; 2.7.4.9., segundo y sexto párrafos; 2.9.13., segundo párrafo; 2.11.6., fracción III; 2.18.1., párrafos cuarto, fracción IV y quinto; 3.1.24.; 3.10.4.; 5.2.23., fracción V; 7.42.; 11.1.9., primer párrafo y </w:t>
      </w:r>
      <w:bookmarkStart w:id="0" w:name="N_Hlk135644347"/>
      <w:r w:rsidRPr="009A7B7D">
        <w:t xml:space="preserve">13.1., primer párrafo, fracción </w:t>
      </w:r>
      <w:bookmarkEnd w:id="0"/>
      <w:r w:rsidRPr="009A7B7D">
        <w:t xml:space="preserve">VIII; </w:t>
      </w:r>
      <w:r w:rsidRPr="009A7B7D">
        <w:rPr>
          <w:b/>
        </w:rPr>
        <w:t>se adicionan</w:t>
      </w:r>
      <w:r w:rsidRPr="009A7B7D">
        <w:t xml:space="preserve"> las reglas 2.9.10., primer párrafo, fracción I, inciso h); 3.13.36.; 5.2.23., fracción VII, pasando las actuales fracciones VII a XII a ser VIII a XIII y 12.1.3., segundo párrafo y </w:t>
      </w:r>
      <w:r w:rsidRPr="009A7B7D">
        <w:rPr>
          <w:b/>
        </w:rPr>
        <w:t xml:space="preserve">se deroga </w:t>
      </w:r>
      <w:r w:rsidRPr="009A7B7D">
        <w:t>la regla 2.4.2., segundo párrafo de la Resolución Miscelánea Fiscal para 2023, para quedar de la siguiente manera:</w:t>
      </w:r>
    </w:p>
    <w:p w14:paraId="5A805FB3" w14:textId="77777777" w:rsidR="00147D87" w:rsidRPr="009A7B7D" w:rsidRDefault="00147D87" w:rsidP="00226B32">
      <w:pPr>
        <w:pStyle w:val="texto0"/>
        <w:spacing w:after="80" w:line="210" w:lineRule="exact"/>
        <w:ind w:left="1440" w:firstLine="0"/>
      </w:pPr>
      <w:r w:rsidRPr="009A7B7D">
        <w:rPr>
          <w:b/>
        </w:rPr>
        <w:t>Lugar y forma para presentar documentación</w:t>
      </w:r>
    </w:p>
    <w:p w14:paraId="09E44EBE" w14:textId="77777777" w:rsidR="00147D87" w:rsidRPr="004527C1" w:rsidRDefault="00147D87" w:rsidP="00226B32">
      <w:pPr>
        <w:pStyle w:val="texto0"/>
        <w:spacing w:after="80" w:line="210" w:lineRule="exact"/>
        <w:ind w:left="1440" w:hanging="1152"/>
        <w:rPr>
          <w:b/>
        </w:rPr>
      </w:pPr>
      <w:r w:rsidRPr="009A7B7D">
        <w:rPr>
          <w:b/>
        </w:rPr>
        <w:t>1.6.</w:t>
      </w:r>
      <w:r w:rsidRPr="009A7B7D">
        <w:tab/>
      </w:r>
      <w:r w:rsidRPr="004527C1">
        <w:rPr>
          <w:b/>
        </w:rPr>
        <w:t>...</w:t>
      </w:r>
    </w:p>
    <w:p w14:paraId="16AD740A" w14:textId="77777777" w:rsidR="00147D87" w:rsidRPr="004527C1" w:rsidRDefault="00147D87" w:rsidP="00226B32">
      <w:pPr>
        <w:pStyle w:val="texto0"/>
        <w:spacing w:after="80" w:line="210" w:lineRule="exact"/>
        <w:ind w:left="1440" w:hanging="1152"/>
        <w:rPr>
          <w:b/>
        </w:rPr>
      </w:pPr>
      <w:r w:rsidRPr="004527C1">
        <w:rPr>
          <w:b/>
        </w:rPr>
        <w:tab/>
        <w:t>…</w:t>
      </w:r>
    </w:p>
    <w:p w14:paraId="17497322" w14:textId="77777777" w:rsidR="00147D87" w:rsidRPr="004527C1" w:rsidRDefault="00147D87" w:rsidP="00226B32">
      <w:pPr>
        <w:pStyle w:val="texto0"/>
        <w:spacing w:after="80" w:line="210" w:lineRule="exact"/>
        <w:ind w:left="1440" w:firstLine="0"/>
        <w:rPr>
          <w:b/>
        </w:rPr>
      </w:pPr>
      <w:r w:rsidRPr="009A7B7D">
        <w:rPr>
          <w:b/>
        </w:rPr>
        <w:t xml:space="preserve">I. </w:t>
      </w:r>
      <w:r w:rsidRPr="009A7B7D">
        <w:t>a</w:t>
      </w:r>
      <w:r w:rsidRPr="009A7B7D">
        <w:rPr>
          <w:b/>
        </w:rPr>
        <w:t xml:space="preserve"> III.</w:t>
      </w:r>
      <w:r w:rsidRPr="009A7B7D">
        <w:t xml:space="preserve"> </w:t>
      </w:r>
      <w:r w:rsidRPr="004527C1">
        <w:rPr>
          <w:b/>
        </w:rPr>
        <w:t>…</w:t>
      </w:r>
    </w:p>
    <w:p w14:paraId="77D2AE79" w14:textId="77777777" w:rsidR="00147D87" w:rsidRPr="004527C1" w:rsidRDefault="00147D87" w:rsidP="00226B32">
      <w:pPr>
        <w:pStyle w:val="texto0"/>
        <w:spacing w:after="80" w:line="210" w:lineRule="exact"/>
        <w:ind w:left="1980" w:hanging="540"/>
        <w:rPr>
          <w:b/>
        </w:rPr>
      </w:pPr>
      <w:r w:rsidRPr="009A7B7D">
        <w:rPr>
          <w:b/>
        </w:rPr>
        <w:t>IV.</w:t>
      </w:r>
      <w:r w:rsidRPr="009A7B7D">
        <w:tab/>
      </w:r>
      <w:r w:rsidRPr="004527C1">
        <w:rPr>
          <w:b/>
        </w:rPr>
        <w:t>...</w:t>
      </w:r>
    </w:p>
    <w:p w14:paraId="687C50F7" w14:textId="77777777" w:rsidR="00147D87" w:rsidRPr="009A7B7D" w:rsidRDefault="00147D87" w:rsidP="00E25A48">
      <w:pPr>
        <w:pStyle w:val="texto0"/>
        <w:spacing w:after="80" w:line="210" w:lineRule="exact"/>
        <w:ind w:left="1987" w:firstLine="0"/>
      </w:pPr>
      <w:r w:rsidRPr="009A7B7D">
        <w:t>Respecto de asuntos que competan a la Administración Central de Amparo e Instancias Judiciales, se presentarán en Paseo de la Reforma, número 10, planta baja, Colonia Tabacalera, Alcaldía Cuauhtémoc, C.P. 06300, Ciudad de México.</w:t>
      </w:r>
    </w:p>
    <w:p w14:paraId="043AFB10" w14:textId="77777777" w:rsidR="00147D87" w:rsidRPr="004527C1" w:rsidRDefault="00147D87" w:rsidP="00E25A48">
      <w:pPr>
        <w:pStyle w:val="texto0"/>
        <w:spacing w:after="80" w:line="210" w:lineRule="exact"/>
        <w:ind w:left="1987" w:firstLine="0"/>
        <w:rPr>
          <w:b/>
        </w:rPr>
      </w:pPr>
      <w:r w:rsidRPr="004527C1">
        <w:rPr>
          <w:b/>
        </w:rPr>
        <w:t>...</w:t>
      </w:r>
    </w:p>
    <w:p w14:paraId="65BE346E" w14:textId="77777777" w:rsidR="00147D87" w:rsidRPr="004527C1" w:rsidRDefault="00147D87" w:rsidP="00226B32">
      <w:pPr>
        <w:pStyle w:val="texto0"/>
        <w:spacing w:after="80" w:line="210" w:lineRule="exact"/>
        <w:ind w:left="1440" w:firstLine="0"/>
        <w:rPr>
          <w:b/>
        </w:rPr>
      </w:pPr>
      <w:r w:rsidRPr="004527C1">
        <w:rPr>
          <w:b/>
        </w:rPr>
        <w:t>...</w:t>
      </w:r>
    </w:p>
    <w:p w14:paraId="4CEE52D3" w14:textId="77777777" w:rsidR="00147D87" w:rsidRPr="004527C1" w:rsidRDefault="00147D87" w:rsidP="00226B32">
      <w:pPr>
        <w:pStyle w:val="texto0"/>
        <w:spacing w:after="80" w:line="210" w:lineRule="exact"/>
        <w:ind w:left="1440" w:firstLine="0"/>
        <w:rPr>
          <w:b/>
        </w:rPr>
      </w:pPr>
      <w:r w:rsidRPr="004527C1">
        <w:rPr>
          <w:b/>
        </w:rPr>
        <w:t>...</w:t>
      </w:r>
    </w:p>
    <w:p w14:paraId="6DEC53F2" w14:textId="77777777" w:rsidR="00147D87" w:rsidRPr="004527C1" w:rsidRDefault="00147D87" w:rsidP="00226B32">
      <w:pPr>
        <w:pStyle w:val="texto0"/>
        <w:spacing w:after="80" w:line="210" w:lineRule="exact"/>
        <w:ind w:left="1440" w:firstLine="0"/>
        <w:rPr>
          <w:b/>
        </w:rPr>
      </w:pPr>
      <w:r w:rsidRPr="004527C1">
        <w:rPr>
          <w:b/>
        </w:rPr>
        <w:t>...</w:t>
      </w:r>
    </w:p>
    <w:p w14:paraId="1E5D6F51" w14:textId="77777777" w:rsidR="00147D87" w:rsidRPr="004527C1" w:rsidRDefault="00147D87" w:rsidP="00226B32">
      <w:pPr>
        <w:pStyle w:val="texto0"/>
        <w:spacing w:after="80" w:line="210" w:lineRule="exact"/>
        <w:ind w:left="1440" w:firstLine="0"/>
        <w:rPr>
          <w:b/>
        </w:rPr>
      </w:pPr>
      <w:r w:rsidRPr="004527C1">
        <w:rPr>
          <w:b/>
        </w:rPr>
        <w:t>...</w:t>
      </w:r>
    </w:p>
    <w:p w14:paraId="01842868" w14:textId="77777777" w:rsidR="00147D87" w:rsidRPr="004527C1" w:rsidRDefault="00147D87" w:rsidP="00226B32">
      <w:pPr>
        <w:pStyle w:val="texto0"/>
        <w:spacing w:after="80" w:line="210" w:lineRule="exact"/>
        <w:ind w:left="1440" w:firstLine="0"/>
        <w:rPr>
          <w:b/>
        </w:rPr>
      </w:pPr>
      <w:r w:rsidRPr="004527C1">
        <w:rPr>
          <w:b/>
        </w:rPr>
        <w:t>...</w:t>
      </w:r>
    </w:p>
    <w:p w14:paraId="460ED72D" w14:textId="77777777" w:rsidR="00147D87" w:rsidRPr="004527C1" w:rsidRDefault="00147D87" w:rsidP="00226B32">
      <w:pPr>
        <w:pStyle w:val="texto0"/>
        <w:spacing w:after="80" w:line="210" w:lineRule="exact"/>
        <w:ind w:left="1440" w:firstLine="0"/>
        <w:rPr>
          <w:b/>
        </w:rPr>
      </w:pPr>
      <w:r w:rsidRPr="004527C1">
        <w:rPr>
          <w:b/>
        </w:rPr>
        <w:t>...</w:t>
      </w:r>
    </w:p>
    <w:p w14:paraId="4261B86F" w14:textId="77777777" w:rsidR="00147D87" w:rsidRDefault="00147D87" w:rsidP="00226B32">
      <w:pPr>
        <w:pStyle w:val="texto0"/>
        <w:spacing w:after="80" w:line="210" w:lineRule="exact"/>
        <w:ind w:left="1440" w:firstLine="0"/>
        <w:rPr>
          <w:szCs w:val="14"/>
        </w:rPr>
      </w:pPr>
      <w:r w:rsidRPr="009A7B7D">
        <w:rPr>
          <w:i/>
        </w:rPr>
        <w:t>CFF 18, 18-A, 22, 23, 31, RISAT 25, 28, 31, 32, 35</w:t>
      </w:r>
    </w:p>
    <w:p w14:paraId="39ED4C85" w14:textId="77777777" w:rsidR="00147D87" w:rsidRPr="009A7B7D" w:rsidRDefault="00147D87" w:rsidP="00226B32">
      <w:pPr>
        <w:pStyle w:val="texto0"/>
        <w:spacing w:after="80" w:line="210" w:lineRule="exact"/>
        <w:ind w:left="1440" w:firstLine="0"/>
        <w:rPr>
          <w:b/>
        </w:rPr>
      </w:pPr>
      <w:r w:rsidRPr="009A7B7D">
        <w:rPr>
          <w:b/>
        </w:rPr>
        <w:t>Validación de la clave en el RFC</w:t>
      </w:r>
    </w:p>
    <w:p w14:paraId="5F9D6E1F" w14:textId="77777777" w:rsidR="00147D87" w:rsidRPr="009A7B7D" w:rsidRDefault="00147D87" w:rsidP="00226B32">
      <w:pPr>
        <w:pStyle w:val="texto0"/>
        <w:spacing w:after="80" w:line="210" w:lineRule="exact"/>
        <w:ind w:left="1440" w:hanging="1152"/>
      </w:pPr>
      <w:r w:rsidRPr="009A7B7D">
        <w:rPr>
          <w:b/>
        </w:rPr>
        <w:t>2.4.2.</w:t>
      </w:r>
      <w:r w:rsidRPr="009A7B7D">
        <w:rPr>
          <w:b/>
        </w:rPr>
        <w:tab/>
      </w:r>
      <w:r w:rsidRPr="004527C1">
        <w:rPr>
          <w:b/>
        </w:rPr>
        <w:t>…</w:t>
      </w:r>
    </w:p>
    <w:p w14:paraId="35967301" w14:textId="77777777" w:rsidR="00147D87" w:rsidRPr="009A7B7D" w:rsidRDefault="00147D87" w:rsidP="00226B32">
      <w:pPr>
        <w:pStyle w:val="texto0"/>
        <w:spacing w:after="80" w:line="210" w:lineRule="exact"/>
        <w:ind w:left="1440" w:hanging="1152"/>
      </w:pPr>
      <w:r w:rsidRPr="009A7B7D">
        <w:tab/>
      </w:r>
      <w:r w:rsidRPr="009A7B7D">
        <w:rPr>
          <w:b/>
        </w:rPr>
        <w:t>Se deroga segundo párrafo.</w:t>
      </w:r>
    </w:p>
    <w:p w14:paraId="67C6BBBC" w14:textId="77777777" w:rsidR="00147D87" w:rsidRDefault="00147D87" w:rsidP="00226B32">
      <w:pPr>
        <w:pStyle w:val="texto0"/>
        <w:spacing w:after="80" w:line="210" w:lineRule="exact"/>
        <w:ind w:left="1440" w:firstLine="0"/>
        <w:rPr>
          <w:i/>
        </w:rPr>
      </w:pPr>
      <w:r w:rsidRPr="009A7B7D">
        <w:rPr>
          <w:i/>
        </w:rPr>
        <w:t>CFF 27, RMF 2023 2.4.6., 2.4.13., 2.9.5.</w:t>
      </w:r>
    </w:p>
    <w:p w14:paraId="4E1D1B59" w14:textId="77777777" w:rsidR="00147D87" w:rsidRPr="009A7B7D" w:rsidRDefault="00147D87" w:rsidP="00226B32">
      <w:pPr>
        <w:pStyle w:val="texto0"/>
        <w:spacing w:after="80" w:line="210" w:lineRule="exact"/>
        <w:ind w:left="1440" w:firstLine="0"/>
        <w:rPr>
          <w:b/>
        </w:rPr>
      </w:pPr>
      <w:r w:rsidRPr="009A7B7D">
        <w:rPr>
          <w:b/>
        </w:rPr>
        <w:t>Cancelación en el RFC por defunción</w:t>
      </w:r>
    </w:p>
    <w:p w14:paraId="4DAF0F6E" w14:textId="77777777" w:rsidR="00147D87" w:rsidRPr="009A7B7D" w:rsidRDefault="00147D87" w:rsidP="00226B32">
      <w:pPr>
        <w:pStyle w:val="texto0"/>
        <w:spacing w:after="80" w:line="210" w:lineRule="exact"/>
        <w:ind w:left="1440" w:hanging="1152"/>
      </w:pPr>
      <w:r w:rsidRPr="009A7B7D">
        <w:rPr>
          <w:b/>
        </w:rPr>
        <w:t>2.5.3.</w:t>
      </w:r>
      <w:r w:rsidRPr="009A7B7D">
        <w:tab/>
        <w:t>Para los efectos de los artículos 27, apartados B, fracción II y C, fracciones V y XIII del CFF, 29, primer párrafo, fracción XIII y 30, fracción IX de su Reglamento, la autoridad fiscal podrá realizar la cancelación en el RFC por defunción de la persona física de que se trate, sin necesidad de que se presente el aviso respectivo, cuando la información proporcionada por diversas autoridades o de terceros demuestre el fallecimiento del contribuyente y este se encuentre activo en el RFC sin obligaciones fiscales o exclusivamente en el régimen de sueldos y salarios y/o en el RIF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ingresos por intereses, ingresos por dividendos o bien, exista un aviso de suspensión de actividades previo al fallecimiento, con independencia del régimen fiscal en que hubiere tributado conforme a la Ley del ISR.</w:t>
      </w:r>
    </w:p>
    <w:p w14:paraId="4FEFD098" w14:textId="77777777" w:rsidR="00147D87" w:rsidRPr="004527C1" w:rsidRDefault="00147D87" w:rsidP="004527C1">
      <w:pPr>
        <w:pStyle w:val="texto0"/>
        <w:ind w:left="1440" w:firstLine="0"/>
        <w:rPr>
          <w:b/>
        </w:rPr>
      </w:pPr>
      <w:r w:rsidRPr="004527C1">
        <w:rPr>
          <w:b/>
        </w:rPr>
        <w:t>...</w:t>
      </w:r>
    </w:p>
    <w:p w14:paraId="3E2224B2" w14:textId="77777777" w:rsidR="00147D87" w:rsidRDefault="00147D87" w:rsidP="004527C1">
      <w:pPr>
        <w:pStyle w:val="texto0"/>
        <w:ind w:left="1440" w:firstLine="0"/>
        <w:rPr>
          <w:i/>
        </w:rPr>
      </w:pPr>
      <w:r w:rsidRPr="009A7B7D">
        <w:rPr>
          <w:i/>
        </w:rPr>
        <w:t>CFF 27, RCFF 29, 30</w:t>
      </w:r>
    </w:p>
    <w:p w14:paraId="3EE69376" w14:textId="77777777" w:rsidR="00147D87" w:rsidRPr="009A7B7D" w:rsidRDefault="00147D87" w:rsidP="00226B32">
      <w:pPr>
        <w:pStyle w:val="texto0"/>
        <w:spacing w:line="240" w:lineRule="exact"/>
        <w:ind w:left="1440" w:firstLine="0"/>
        <w:rPr>
          <w:b/>
        </w:rPr>
      </w:pPr>
      <w:r w:rsidRPr="009A7B7D">
        <w:rPr>
          <w:b/>
        </w:rPr>
        <w:lastRenderedPageBreak/>
        <w:t>Personas relevadas de presentar aviso de suspensión o disminución de obligaciones</w:t>
      </w:r>
    </w:p>
    <w:p w14:paraId="2EB3E4B1" w14:textId="77777777" w:rsidR="00147D87" w:rsidRPr="009A7B7D" w:rsidRDefault="00147D87" w:rsidP="00226B32">
      <w:pPr>
        <w:pStyle w:val="texto0"/>
        <w:spacing w:line="240" w:lineRule="exact"/>
        <w:ind w:left="1440" w:hanging="1152"/>
      </w:pPr>
      <w:r w:rsidRPr="009A7B7D">
        <w:rPr>
          <w:b/>
        </w:rPr>
        <w:t>2.5.21.</w:t>
      </w:r>
      <w:r w:rsidRPr="009A7B7D">
        <w:tab/>
        <w:t xml:space="preserve">Para los efectos de los artículos 27, apartados B, fracción II y C, fracciones V y XII y 63 del CFF; así como 29, primer párrafo, fracciones V y VII y 30, fracciones IV, inciso a) y V, </w:t>
      </w:r>
      <w:r w:rsidR="0084733D">
        <w:t xml:space="preserve"> </w:t>
      </w:r>
      <w:r w:rsidRPr="009A7B7D">
        <w:t>inciso a) del Reglamento del CFF, la autoridad fiscal podrá realizar la suspensión en el RFC y disminución de obligaciones en dicho registro, sin necesidad de que estos presenten el aviso respectivo, cuando los contribuyentes no hayan realizado alguna actividad en los tres ejercicios fiscales previos a la suspensión o disminución, derivado de la información obtenida de sus sistemas o bases de datos, así como de la información proporcionada por otras autoridades o terceros, o bien, la obtenida por la autoridad por cualquier otro medio.</w:t>
      </w:r>
    </w:p>
    <w:p w14:paraId="46593770" w14:textId="77777777" w:rsidR="00147D87" w:rsidRPr="004527C1" w:rsidRDefault="00147D87" w:rsidP="00226B32">
      <w:pPr>
        <w:pStyle w:val="texto0"/>
        <w:spacing w:line="240" w:lineRule="exact"/>
        <w:ind w:left="1440" w:firstLine="0"/>
        <w:rPr>
          <w:b/>
        </w:rPr>
      </w:pPr>
      <w:r w:rsidRPr="004527C1">
        <w:rPr>
          <w:b/>
        </w:rPr>
        <w:t>...</w:t>
      </w:r>
    </w:p>
    <w:p w14:paraId="67B0950F" w14:textId="77777777" w:rsidR="00147D87" w:rsidRPr="004527C1" w:rsidRDefault="00147D87" w:rsidP="00226B32">
      <w:pPr>
        <w:pStyle w:val="texto0"/>
        <w:spacing w:line="240" w:lineRule="exact"/>
        <w:ind w:left="1440" w:firstLine="0"/>
        <w:rPr>
          <w:b/>
        </w:rPr>
      </w:pPr>
      <w:r w:rsidRPr="004527C1">
        <w:rPr>
          <w:b/>
        </w:rPr>
        <w:t>...</w:t>
      </w:r>
    </w:p>
    <w:p w14:paraId="7C534453" w14:textId="77777777" w:rsidR="00147D87" w:rsidRDefault="00147D87" w:rsidP="00226B32">
      <w:pPr>
        <w:pStyle w:val="texto0"/>
        <w:spacing w:line="240" w:lineRule="exact"/>
        <w:ind w:left="1440" w:firstLine="0"/>
        <w:rPr>
          <w:i/>
          <w:color w:val="000000"/>
        </w:rPr>
      </w:pPr>
      <w:r w:rsidRPr="009A7B7D">
        <w:rPr>
          <w:i/>
        </w:rPr>
        <w:t>CFF 27, 63, RCFF 29, 30, RMF 2023 2.5.8.</w:t>
      </w:r>
    </w:p>
    <w:p w14:paraId="2171293A" w14:textId="77777777" w:rsidR="00147D87" w:rsidRDefault="00147D87" w:rsidP="00226B32">
      <w:pPr>
        <w:pStyle w:val="texto0"/>
        <w:spacing w:line="240" w:lineRule="exact"/>
        <w:ind w:left="1440" w:firstLine="0"/>
        <w:rPr>
          <w:b/>
        </w:rPr>
      </w:pPr>
      <w:r w:rsidRPr="009A7B7D">
        <w:rPr>
          <w:b/>
        </w:rPr>
        <w:t>Verificación del cumplimiento de requisitos y obligaciones para el proveedor de certificación de CFDI</w:t>
      </w:r>
    </w:p>
    <w:p w14:paraId="0D476054" w14:textId="77777777" w:rsidR="00147D87" w:rsidRPr="004527C1" w:rsidRDefault="00147D87" w:rsidP="00226B32">
      <w:pPr>
        <w:pStyle w:val="texto0"/>
        <w:spacing w:line="240" w:lineRule="exact"/>
        <w:ind w:left="1440" w:hanging="1152"/>
        <w:rPr>
          <w:b/>
        </w:rPr>
      </w:pPr>
      <w:r w:rsidRPr="009A7B7D">
        <w:rPr>
          <w:b/>
        </w:rPr>
        <w:t>2.7.2.10.</w:t>
      </w:r>
      <w:r w:rsidRPr="009A7B7D">
        <w:rPr>
          <w:b/>
        </w:rPr>
        <w:tab/>
      </w:r>
      <w:r w:rsidRPr="004527C1">
        <w:rPr>
          <w:b/>
        </w:rPr>
        <w:t>...</w:t>
      </w:r>
    </w:p>
    <w:p w14:paraId="06472A38" w14:textId="77777777" w:rsidR="00147D87" w:rsidRPr="004527C1" w:rsidRDefault="00147D87" w:rsidP="00226B32">
      <w:pPr>
        <w:pStyle w:val="texto0"/>
        <w:spacing w:line="240" w:lineRule="exact"/>
        <w:ind w:left="1440" w:firstLine="0"/>
        <w:rPr>
          <w:b/>
        </w:rPr>
      </w:pPr>
      <w:r w:rsidRPr="004527C1">
        <w:rPr>
          <w:b/>
        </w:rPr>
        <w:t>...</w:t>
      </w:r>
    </w:p>
    <w:p w14:paraId="732B668E" w14:textId="77777777" w:rsidR="00147D87" w:rsidRPr="004527C1" w:rsidRDefault="00147D87" w:rsidP="00226B32">
      <w:pPr>
        <w:pStyle w:val="texto0"/>
        <w:spacing w:line="240" w:lineRule="exact"/>
        <w:ind w:left="1440" w:firstLine="0"/>
        <w:rPr>
          <w:b/>
        </w:rPr>
      </w:pPr>
      <w:r w:rsidRPr="004527C1">
        <w:rPr>
          <w:b/>
        </w:rPr>
        <w:t>…</w:t>
      </w:r>
    </w:p>
    <w:p w14:paraId="630A48F9" w14:textId="77777777" w:rsidR="00147D87" w:rsidRPr="004527C1" w:rsidRDefault="00147D87" w:rsidP="00226B32">
      <w:pPr>
        <w:pStyle w:val="texto0"/>
        <w:spacing w:line="240" w:lineRule="exact"/>
        <w:ind w:left="1980" w:hanging="540"/>
        <w:rPr>
          <w:b/>
        </w:rPr>
      </w:pPr>
      <w:r w:rsidRPr="009A7B7D">
        <w:rPr>
          <w:b/>
        </w:rPr>
        <w:t>I.</w:t>
      </w:r>
      <w:r w:rsidRPr="009A7B7D">
        <w:t xml:space="preserve"> a</w:t>
      </w:r>
      <w:r w:rsidRPr="009A7B7D">
        <w:rPr>
          <w:b/>
        </w:rPr>
        <w:t xml:space="preserve"> V.</w:t>
      </w:r>
      <w:r w:rsidRPr="009A7B7D">
        <w:t xml:space="preserve"> </w:t>
      </w:r>
      <w:r w:rsidRPr="004527C1">
        <w:rPr>
          <w:b/>
        </w:rPr>
        <w:t>…</w:t>
      </w:r>
    </w:p>
    <w:p w14:paraId="1C9E6E2C" w14:textId="77777777" w:rsidR="00147D87" w:rsidRPr="009A7B7D" w:rsidRDefault="00147D87" w:rsidP="00226B32">
      <w:pPr>
        <w:pStyle w:val="texto0"/>
        <w:spacing w:line="240" w:lineRule="exact"/>
        <w:ind w:left="1980" w:hanging="540"/>
      </w:pPr>
      <w:r w:rsidRPr="009A7B7D">
        <w:rPr>
          <w:b/>
        </w:rPr>
        <w:t>VI.</w:t>
      </w:r>
      <w:r w:rsidRPr="009A7B7D">
        <w:tab/>
        <w:t>Una vez entregada la información o documentación en el plazo señalado por el proveedor en el proceso de verificación, la ACSMC de la AGCTI analizará y valorará la información y/o documentación y notificará el oficio de opinión técnica final de la verificación.</w:t>
      </w:r>
    </w:p>
    <w:p w14:paraId="04F54F2D" w14:textId="77777777" w:rsidR="00147D87" w:rsidRPr="004527C1" w:rsidRDefault="00147D87" w:rsidP="00226B32">
      <w:pPr>
        <w:pStyle w:val="texto0"/>
        <w:spacing w:line="240" w:lineRule="exact"/>
        <w:ind w:left="1980" w:hanging="540"/>
        <w:rPr>
          <w:b/>
        </w:rPr>
      </w:pPr>
      <w:r w:rsidRPr="009A7B7D">
        <w:rPr>
          <w:b/>
        </w:rPr>
        <w:t>VII.</w:t>
      </w:r>
      <w:r w:rsidRPr="009A7B7D">
        <w:tab/>
      </w:r>
      <w:r w:rsidRPr="004527C1">
        <w:rPr>
          <w:b/>
        </w:rPr>
        <w:t>...</w:t>
      </w:r>
    </w:p>
    <w:p w14:paraId="51EB25DF" w14:textId="77777777" w:rsidR="00147D87" w:rsidRPr="009A7B7D" w:rsidRDefault="00147D87" w:rsidP="00226B32">
      <w:pPr>
        <w:pStyle w:val="texto0"/>
        <w:spacing w:line="240" w:lineRule="exact"/>
        <w:ind w:left="1980" w:hanging="540"/>
      </w:pPr>
      <w:r w:rsidRPr="009A7B7D">
        <w:rPr>
          <w:b/>
        </w:rPr>
        <w:t>VIII.</w:t>
      </w:r>
      <w:r w:rsidRPr="009A7B7D">
        <w:tab/>
        <w:t>La ACSMC de la AGCTI hará del conocimiento a la ACGSTME de la AGSC, el oficio de opinión técnica final de la verificación, para que en caso de tener incumplimientos, la ACGSTME informe al proveedor la sanción que corresponda.</w:t>
      </w:r>
    </w:p>
    <w:p w14:paraId="4518C283" w14:textId="77777777" w:rsidR="00147D87" w:rsidRPr="004527C1" w:rsidRDefault="00147D87" w:rsidP="00226B32">
      <w:pPr>
        <w:pStyle w:val="texto0"/>
        <w:spacing w:line="240" w:lineRule="exact"/>
        <w:ind w:left="1440" w:firstLine="0"/>
        <w:rPr>
          <w:b/>
        </w:rPr>
      </w:pPr>
      <w:r w:rsidRPr="004527C1">
        <w:rPr>
          <w:b/>
        </w:rPr>
        <w:t>...</w:t>
      </w:r>
    </w:p>
    <w:p w14:paraId="61EB0802" w14:textId="77777777" w:rsidR="00147D87" w:rsidRDefault="00147D87" w:rsidP="00226B32">
      <w:pPr>
        <w:pStyle w:val="texto0"/>
        <w:spacing w:line="240" w:lineRule="exact"/>
        <w:ind w:left="1440" w:firstLine="0"/>
        <w:rPr>
          <w:b/>
        </w:rPr>
      </w:pPr>
      <w:r w:rsidRPr="009A7B7D">
        <w:rPr>
          <w:i/>
        </w:rPr>
        <w:t>CFF 29, 29 Bis, RMF 2023 2.7.2.8., 2.7.2.9., 2.7.2.11., 2.7.2.12., 2.7.2.14.</w:t>
      </w:r>
    </w:p>
    <w:p w14:paraId="109F2E90" w14:textId="77777777" w:rsidR="00147D87" w:rsidRPr="009A7B7D" w:rsidRDefault="00147D87" w:rsidP="00226B32">
      <w:pPr>
        <w:pStyle w:val="texto0"/>
        <w:spacing w:line="240" w:lineRule="exact"/>
        <w:ind w:left="1440" w:firstLine="0"/>
        <w:rPr>
          <w:b/>
        </w:rPr>
      </w:pPr>
      <w:r w:rsidRPr="009A7B7D">
        <w:rPr>
          <w:b/>
        </w:rPr>
        <w:t>Verificación del cumplimiento de requisitos y obligaciones para el proveedor de certificación y generación de CFDI para el sector primario</w:t>
      </w:r>
    </w:p>
    <w:p w14:paraId="45CA0B20" w14:textId="77777777" w:rsidR="00147D87" w:rsidRPr="004527C1" w:rsidRDefault="00147D87" w:rsidP="00226B32">
      <w:pPr>
        <w:pStyle w:val="texto0"/>
        <w:spacing w:line="240" w:lineRule="exact"/>
        <w:ind w:left="1440" w:hanging="1152"/>
        <w:rPr>
          <w:b/>
        </w:rPr>
      </w:pPr>
      <w:r w:rsidRPr="009A7B7D">
        <w:rPr>
          <w:b/>
        </w:rPr>
        <w:t>2.7.4.9.</w:t>
      </w:r>
      <w:r w:rsidRPr="009A7B7D">
        <w:rPr>
          <w:b/>
        </w:rPr>
        <w:tab/>
      </w:r>
      <w:r w:rsidRPr="004527C1">
        <w:rPr>
          <w:b/>
        </w:rPr>
        <w:t>...</w:t>
      </w:r>
    </w:p>
    <w:p w14:paraId="7319A908" w14:textId="77777777" w:rsidR="00147D87" w:rsidRPr="009A7B7D" w:rsidRDefault="00147D87" w:rsidP="00226B32">
      <w:pPr>
        <w:pStyle w:val="texto0"/>
        <w:spacing w:line="240" w:lineRule="exact"/>
        <w:ind w:left="1440" w:firstLine="0"/>
      </w:pPr>
      <w:r w:rsidRPr="009A7B7D">
        <w:t>La verificación iniciará en la fecha indicada en la orden de verificación que al efecto se emita, se levantará un acta circunstanciada en la que se asienten los pormenores de la revisión, posteriormente se emitirá un oficio en el que se harán constar y se notificarán, en su caso, los incumplimientos, otorgándole el plazo que se menciona en el párrafo siguiente para que el proveedor aclare los incumplimientos detectados y se tendrá por concluida en la fecha en que se notifique el oficio de opinión técnica final de la verificación.</w:t>
      </w:r>
    </w:p>
    <w:p w14:paraId="3A769304" w14:textId="77777777" w:rsidR="00147D87" w:rsidRPr="004527C1" w:rsidRDefault="00147D87" w:rsidP="00226B32">
      <w:pPr>
        <w:pStyle w:val="texto0"/>
        <w:spacing w:line="240" w:lineRule="exact"/>
        <w:ind w:left="1440" w:firstLine="0"/>
        <w:rPr>
          <w:b/>
        </w:rPr>
      </w:pPr>
      <w:r w:rsidRPr="004527C1">
        <w:rPr>
          <w:b/>
        </w:rPr>
        <w:t>...</w:t>
      </w:r>
    </w:p>
    <w:p w14:paraId="71F2C4B6" w14:textId="77777777" w:rsidR="00147D87" w:rsidRPr="004527C1" w:rsidRDefault="00147D87" w:rsidP="00226B32">
      <w:pPr>
        <w:pStyle w:val="texto0"/>
        <w:spacing w:line="240" w:lineRule="exact"/>
        <w:ind w:left="1440" w:firstLine="0"/>
        <w:rPr>
          <w:b/>
        </w:rPr>
      </w:pPr>
      <w:r w:rsidRPr="004527C1">
        <w:rPr>
          <w:b/>
        </w:rPr>
        <w:t>...</w:t>
      </w:r>
    </w:p>
    <w:p w14:paraId="0971662B" w14:textId="77777777" w:rsidR="00147D87" w:rsidRPr="004527C1" w:rsidRDefault="00147D87" w:rsidP="00226B32">
      <w:pPr>
        <w:pStyle w:val="texto0"/>
        <w:spacing w:line="240" w:lineRule="exact"/>
        <w:ind w:left="1440" w:firstLine="0"/>
        <w:rPr>
          <w:b/>
        </w:rPr>
      </w:pPr>
      <w:r w:rsidRPr="004527C1">
        <w:rPr>
          <w:b/>
        </w:rPr>
        <w:t>...</w:t>
      </w:r>
    </w:p>
    <w:p w14:paraId="5E69303F" w14:textId="77777777" w:rsidR="00147D87" w:rsidRPr="009A7B7D" w:rsidRDefault="00147D87" w:rsidP="00226B32">
      <w:pPr>
        <w:pStyle w:val="texto0"/>
        <w:spacing w:line="240" w:lineRule="exact"/>
        <w:ind w:left="1440" w:firstLine="0"/>
      </w:pPr>
      <w:r w:rsidRPr="009A7B7D">
        <w:t>Si transcurrido el plazo señalado en el párrafo tercero de la presente regla, el proveedor no desvirtúa o comprueba el cumplimiento de los requisitos y obligaciones a que está sujeto, la ACSMC de la AGCTI emitirá el oficio de opinión técnica final de la verificación, mismo que notificará a la ACGSTME de la AGSC.</w:t>
      </w:r>
    </w:p>
    <w:p w14:paraId="046CDCAC" w14:textId="77777777" w:rsidR="00147D87" w:rsidRPr="004527C1" w:rsidRDefault="00147D87" w:rsidP="00226B32">
      <w:pPr>
        <w:pStyle w:val="texto0"/>
        <w:spacing w:line="240" w:lineRule="exact"/>
        <w:ind w:left="1440" w:firstLine="0"/>
        <w:rPr>
          <w:b/>
        </w:rPr>
      </w:pPr>
      <w:r w:rsidRPr="004527C1">
        <w:rPr>
          <w:b/>
        </w:rPr>
        <w:t>...</w:t>
      </w:r>
    </w:p>
    <w:p w14:paraId="5F5A68A8" w14:textId="77777777" w:rsidR="00147D87" w:rsidRDefault="00147D87" w:rsidP="00226B32">
      <w:pPr>
        <w:pStyle w:val="texto0"/>
        <w:spacing w:line="240" w:lineRule="exact"/>
        <w:ind w:left="1440" w:firstLine="0"/>
        <w:rPr>
          <w:i/>
        </w:rPr>
      </w:pPr>
      <w:r w:rsidRPr="009A7B7D">
        <w:rPr>
          <w:i/>
        </w:rPr>
        <w:t>CFF 29, 29 Bis, RMF 2023 2.7.4.2., 2.7.4.6., 2.7.4.10., 2.7.4.11.</w:t>
      </w:r>
    </w:p>
    <w:p w14:paraId="2A6DDB63" w14:textId="77777777" w:rsidR="00147D87" w:rsidRPr="009A7B7D" w:rsidRDefault="00147D87" w:rsidP="00226B32">
      <w:pPr>
        <w:pStyle w:val="texto0"/>
        <w:spacing w:line="249" w:lineRule="exact"/>
        <w:ind w:left="1440" w:firstLine="0"/>
        <w:rPr>
          <w:b/>
        </w:rPr>
      </w:pPr>
      <w:r w:rsidRPr="009A7B7D">
        <w:rPr>
          <w:b/>
        </w:rPr>
        <w:lastRenderedPageBreak/>
        <w:t>Solicitud para pago a plazos flexibles durante el ejercicio de facultades de comprobación</w:t>
      </w:r>
    </w:p>
    <w:p w14:paraId="53861D16" w14:textId="77777777" w:rsidR="00147D87" w:rsidRPr="004527C1" w:rsidRDefault="00147D87" w:rsidP="00226B32">
      <w:pPr>
        <w:pStyle w:val="texto0"/>
        <w:spacing w:line="249" w:lineRule="exact"/>
        <w:ind w:left="1440" w:hanging="1152"/>
        <w:rPr>
          <w:b/>
        </w:rPr>
      </w:pPr>
      <w:r w:rsidRPr="009A7B7D">
        <w:rPr>
          <w:b/>
        </w:rPr>
        <w:t>2.9.10.</w:t>
      </w:r>
      <w:r w:rsidRPr="009A7B7D">
        <w:tab/>
      </w:r>
      <w:r w:rsidRPr="004527C1">
        <w:rPr>
          <w:b/>
        </w:rPr>
        <w:t>…</w:t>
      </w:r>
    </w:p>
    <w:p w14:paraId="5B16B0B4" w14:textId="77777777" w:rsidR="00147D87" w:rsidRPr="004527C1" w:rsidRDefault="00147D87" w:rsidP="00226B32">
      <w:pPr>
        <w:pStyle w:val="texto0"/>
        <w:spacing w:line="249" w:lineRule="exact"/>
        <w:ind w:left="1980" w:hanging="540"/>
        <w:rPr>
          <w:b/>
        </w:rPr>
      </w:pPr>
      <w:r w:rsidRPr="009A7B7D">
        <w:rPr>
          <w:b/>
        </w:rPr>
        <w:t>I.</w:t>
      </w:r>
      <w:r w:rsidRPr="009A7B7D">
        <w:tab/>
      </w:r>
      <w:r w:rsidRPr="004527C1">
        <w:rPr>
          <w:b/>
        </w:rPr>
        <w:t>…</w:t>
      </w:r>
    </w:p>
    <w:p w14:paraId="1085CFD2" w14:textId="77777777" w:rsidR="00147D87" w:rsidRPr="004527C1" w:rsidRDefault="00147D87" w:rsidP="00226B32">
      <w:pPr>
        <w:pStyle w:val="texto0"/>
        <w:spacing w:line="249" w:lineRule="exact"/>
        <w:ind w:left="2430" w:hanging="450"/>
        <w:rPr>
          <w:b/>
        </w:rPr>
      </w:pPr>
      <w:r w:rsidRPr="009A7B7D">
        <w:rPr>
          <w:b/>
        </w:rPr>
        <w:t xml:space="preserve">a) </w:t>
      </w:r>
      <w:r w:rsidRPr="009A7B7D">
        <w:t xml:space="preserve">a </w:t>
      </w:r>
      <w:r w:rsidRPr="009A7B7D">
        <w:rPr>
          <w:b/>
        </w:rPr>
        <w:t>g)</w:t>
      </w:r>
      <w:r w:rsidRPr="009A7B7D">
        <w:rPr>
          <w:b/>
        </w:rPr>
        <w:tab/>
      </w:r>
      <w:r w:rsidRPr="004527C1">
        <w:rPr>
          <w:b/>
        </w:rPr>
        <w:t>…</w:t>
      </w:r>
    </w:p>
    <w:p w14:paraId="78826A60" w14:textId="77777777" w:rsidR="00147D87" w:rsidRPr="009A7B7D" w:rsidRDefault="00147D87" w:rsidP="00226B32">
      <w:pPr>
        <w:pStyle w:val="texto0"/>
        <w:spacing w:line="249" w:lineRule="exact"/>
        <w:ind w:left="2430" w:hanging="450"/>
      </w:pPr>
      <w:r w:rsidRPr="009A7B7D">
        <w:rPr>
          <w:b/>
        </w:rPr>
        <w:t>h)</w:t>
      </w:r>
      <w:r w:rsidRPr="009A7B7D">
        <w:rPr>
          <w:b/>
        </w:rPr>
        <w:tab/>
      </w:r>
      <w:r w:rsidRPr="009A7B7D">
        <w:t>La autoridad que se encuentra ejerciendo las facultades de comprobación.</w:t>
      </w:r>
    </w:p>
    <w:p w14:paraId="3E37E2D4" w14:textId="77777777" w:rsidR="00147D87" w:rsidRPr="004527C1" w:rsidRDefault="00147D87" w:rsidP="00226B32">
      <w:pPr>
        <w:pStyle w:val="texto0"/>
        <w:spacing w:line="249" w:lineRule="exact"/>
        <w:ind w:left="1980" w:hanging="540"/>
        <w:rPr>
          <w:b/>
          <w:lang w:val="en-US"/>
        </w:rPr>
      </w:pPr>
      <w:r w:rsidRPr="009A7B7D">
        <w:rPr>
          <w:b/>
          <w:lang w:val="en-US"/>
        </w:rPr>
        <w:t>II.</w:t>
      </w:r>
      <w:r w:rsidRPr="009A7B7D">
        <w:rPr>
          <w:lang w:val="en-US"/>
        </w:rPr>
        <w:tab/>
      </w:r>
      <w:r w:rsidRPr="004527C1">
        <w:rPr>
          <w:b/>
          <w:lang w:val="en-US"/>
        </w:rPr>
        <w:t>...</w:t>
      </w:r>
    </w:p>
    <w:p w14:paraId="0105C5E5" w14:textId="77777777" w:rsidR="00147D87" w:rsidRPr="004527C1" w:rsidRDefault="00147D87" w:rsidP="00226B32">
      <w:pPr>
        <w:pStyle w:val="texto0"/>
        <w:spacing w:line="249" w:lineRule="exact"/>
        <w:ind w:left="1980" w:hanging="540"/>
        <w:rPr>
          <w:b/>
          <w:lang w:val="en-US"/>
        </w:rPr>
      </w:pPr>
      <w:r w:rsidRPr="004527C1">
        <w:rPr>
          <w:b/>
          <w:lang w:val="en-US"/>
        </w:rPr>
        <w:t>...</w:t>
      </w:r>
    </w:p>
    <w:p w14:paraId="5585A4BA" w14:textId="77777777" w:rsidR="00147D87" w:rsidRDefault="00147D87" w:rsidP="00226B32">
      <w:pPr>
        <w:pStyle w:val="texto0"/>
        <w:spacing w:line="249" w:lineRule="exact"/>
        <w:ind w:left="1440" w:firstLine="0"/>
        <w:rPr>
          <w:i/>
          <w:lang w:val="en-US"/>
        </w:rPr>
      </w:pPr>
      <w:r w:rsidRPr="009A7B7D">
        <w:rPr>
          <w:i/>
          <w:lang w:val="en-US"/>
        </w:rPr>
        <w:t>CFF 66, 66-A, RCFF 65, RMF 2023 2.11.2.</w:t>
      </w:r>
    </w:p>
    <w:p w14:paraId="030D58CE" w14:textId="77777777" w:rsidR="00147D87" w:rsidRPr="009A7B7D" w:rsidRDefault="00147D87" w:rsidP="00226B32">
      <w:pPr>
        <w:pStyle w:val="texto0"/>
        <w:spacing w:line="249" w:lineRule="exact"/>
        <w:ind w:left="1440" w:firstLine="0"/>
        <w:rPr>
          <w:b/>
        </w:rPr>
      </w:pPr>
      <w:r w:rsidRPr="009A7B7D">
        <w:rPr>
          <w:b/>
        </w:rPr>
        <w:t>Aclaración de cartas invitación, exhortos o comunicados por incumplimiento a las disposiciones fiscales</w:t>
      </w:r>
    </w:p>
    <w:p w14:paraId="32147EA0" w14:textId="77777777" w:rsidR="00147D87" w:rsidRPr="004527C1" w:rsidRDefault="00147D87" w:rsidP="00226B32">
      <w:pPr>
        <w:pStyle w:val="texto0"/>
        <w:spacing w:line="249" w:lineRule="exact"/>
        <w:ind w:left="1440" w:hanging="1152"/>
        <w:rPr>
          <w:b/>
        </w:rPr>
      </w:pPr>
      <w:r w:rsidRPr="009A7B7D">
        <w:rPr>
          <w:b/>
        </w:rPr>
        <w:t>2.9.13.</w:t>
      </w:r>
      <w:r w:rsidRPr="009A7B7D">
        <w:rPr>
          <w:b/>
        </w:rPr>
        <w:tab/>
      </w:r>
      <w:r w:rsidRPr="004527C1">
        <w:rPr>
          <w:b/>
        </w:rPr>
        <w:t>…</w:t>
      </w:r>
    </w:p>
    <w:p w14:paraId="574A84E9" w14:textId="77777777" w:rsidR="00147D87" w:rsidRDefault="00147D87" w:rsidP="00226B32">
      <w:pPr>
        <w:pStyle w:val="texto0"/>
        <w:spacing w:line="249" w:lineRule="exact"/>
        <w:ind w:left="1440" w:firstLine="0"/>
      </w:pPr>
      <w:r w:rsidRPr="009A7B7D">
        <w:t>Tratándose de comunicados para promover el cumplimiento de obligaciones en materia de presentación de declaraciones, emitidos por la Administración Central de Promoción y Vigilancia del Cumplimiento, los contribuyentes podrán realizar la aclaración correspondiente conforme a la ficha de trámite 128/CFF “Aclaración de requerimientos</w:t>
      </w:r>
      <w:r w:rsidR="0084733D">
        <w:t xml:space="preserve"> </w:t>
      </w:r>
      <w:r w:rsidRPr="009A7B7D">
        <w:t>de obligaciones omitidas o comunicados para promover el cumplimiento en materia de presentación de declaraciones”, contenida en el Anexo 1-A.</w:t>
      </w:r>
    </w:p>
    <w:p w14:paraId="60D9C5BF" w14:textId="77777777" w:rsidR="00147D87" w:rsidRDefault="00147D87" w:rsidP="00226B32">
      <w:pPr>
        <w:pStyle w:val="texto0"/>
        <w:spacing w:line="249" w:lineRule="exact"/>
        <w:ind w:left="1440" w:firstLine="0"/>
        <w:rPr>
          <w:i/>
        </w:rPr>
      </w:pPr>
      <w:r w:rsidRPr="009A7B7D">
        <w:rPr>
          <w:i/>
        </w:rPr>
        <w:t>CFF 33</w:t>
      </w:r>
    </w:p>
    <w:p w14:paraId="1D8407D5" w14:textId="77777777" w:rsidR="00147D87" w:rsidRPr="009A7B7D" w:rsidRDefault="00147D87" w:rsidP="00226B32">
      <w:pPr>
        <w:pStyle w:val="texto0"/>
        <w:spacing w:line="249" w:lineRule="exact"/>
        <w:ind w:left="1440" w:firstLine="0"/>
        <w:rPr>
          <w:b/>
        </w:rPr>
      </w:pPr>
      <w:r w:rsidRPr="009A7B7D">
        <w:rPr>
          <w:b/>
        </w:rPr>
        <w:t>Liquidación anticipada del adeudo con convenio de pago a plazos</w:t>
      </w:r>
    </w:p>
    <w:p w14:paraId="6D2D28E1" w14:textId="77777777" w:rsidR="00147D87" w:rsidRPr="004527C1" w:rsidRDefault="00147D87" w:rsidP="00226B32">
      <w:pPr>
        <w:pStyle w:val="texto0"/>
        <w:spacing w:line="249" w:lineRule="exact"/>
        <w:ind w:left="1440" w:hanging="1152"/>
        <w:rPr>
          <w:b/>
        </w:rPr>
      </w:pPr>
      <w:bookmarkStart w:id="1" w:name="N_Hlk140667407"/>
      <w:r w:rsidRPr="009A7B7D">
        <w:rPr>
          <w:b/>
        </w:rPr>
        <w:t>2.11.6.</w:t>
      </w:r>
      <w:bookmarkEnd w:id="1"/>
      <w:r w:rsidRPr="009A7B7D">
        <w:tab/>
      </w:r>
      <w:r w:rsidRPr="004527C1">
        <w:rPr>
          <w:b/>
        </w:rPr>
        <w:t>…</w:t>
      </w:r>
    </w:p>
    <w:p w14:paraId="788629E9" w14:textId="77777777" w:rsidR="00147D87" w:rsidRPr="004527C1" w:rsidRDefault="00147D87" w:rsidP="00226B32">
      <w:pPr>
        <w:pStyle w:val="texto0"/>
        <w:spacing w:line="249" w:lineRule="exact"/>
        <w:ind w:left="1440" w:firstLine="0"/>
        <w:rPr>
          <w:b/>
        </w:rPr>
      </w:pPr>
      <w:r w:rsidRPr="009A7B7D">
        <w:rPr>
          <w:b/>
        </w:rPr>
        <w:t>I.</w:t>
      </w:r>
      <w:r w:rsidRPr="009A7B7D">
        <w:t xml:space="preserve"> a </w:t>
      </w:r>
      <w:r w:rsidRPr="009A7B7D">
        <w:rPr>
          <w:b/>
        </w:rPr>
        <w:t>II.</w:t>
      </w:r>
      <w:r w:rsidRPr="009A7B7D">
        <w:t xml:space="preserve"> </w:t>
      </w:r>
      <w:r w:rsidRPr="004527C1">
        <w:rPr>
          <w:b/>
        </w:rPr>
        <w:t>…</w:t>
      </w:r>
    </w:p>
    <w:p w14:paraId="4E02B852" w14:textId="77777777" w:rsidR="00147D87" w:rsidRPr="009A7B7D" w:rsidRDefault="00147D87" w:rsidP="00226B32">
      <w:pPr>
        <w:pStyle w:val="texto0"/>
        <w:spacing w:line="249" w:lineRule="exact"/>
        <w:ind w:left="2070" w:hanging="630"/>
        <w:rPr>
          <w:b/>
        </w:rPr>
      </w:pPr>
      <w:r w:rsidRPr="009A7B7D">
        <w:rPr>
          <w:b/>
        </w:rPr>
        <w:t>III.</w:t>
      </w:r>
      <w:r w:rsidRPr="009A7B7D">
        <w:tab/>
        <w:t>Para los casos de pago diferido, al saldo insoluto del adeudo a liquidar de manera anticipada, se le adicionará la cantidad que resulte de multiplicar dicho saldo por la tasa mensual aplicable al pago diferido señalada en el artículo 8 de la LIF, vigente</w:t>
      </w:r>
      <w:r w:rsidR="0084733D">
        <w:t xml:space="preserve"> </w:t>
      </w:r>
      <w:r w:rsidRPr="009A7B7D">
        <w:t>a la fecha de autorización del pago diferido, por el número de meses o fracción de mes transcurridos desde la fecha de la solicitud de pago a plazos de forma diferida, hasta la fecha señalada por el contribuyente para liquidar su adeudo de manera anticipada.</w:t>
      </w:r>
      <w:bookmarkStart w:id="2" w:name="N_GoBack"/>
      <w:bookmarkEnd w:id="2"/>
    </w:p>
    <w:p w14:paraId="5965F230" w14:textId="77777777" w:rsidR="00147D87" w:rsidRPr="009A7B7D" w:rsidRDefault="00147D87" w:rsidP="00226B32">
      <w:pPr>
        <w:pStyle w:val="texto0"/>
        <w:spacing w:line="249" w:lineRule="exact"/>
        <w:ind w:left="1440" w:firstLine="0"/>
        <w:rPr>
          <w:lang w:val="en-US"/>
        </w:rPr>
      </w:pPr>
      <w:r w:rsidRPr="009A7B7D">
        <w:rPr>
          <w:b/>
          <w:lang w:val="en-US"/>
        </w:rPr>
        <w:t xml:space="preserve">IV. </w:t>
      </w:r>
      <w:r w:rsidRPr="009A7B7D">
        <w:rPr>
          <w:lang w:val="en-US"/>
        </w:rPr>
        <w:t>a</w:t>
      </w:r>
      <w:r w:rsidRPr="009A7B7D">
        <w:rPr>
          <w:b/>
          <w:lang w:val="en-US"/>
        </w:rPr>
        <w:t xml:space="preserve"> V.</w:t>
      </w:r>
      <w:r w:rsidRPr="009A7B7D">
        <w:rPr>
          <w:lang w:val="en-US"/>
        </w:rPr>
        <w:t xml:space="preserve"> </w:t>
      </w:r>
      <w:r w:rsidRPr="004527C1">
        <w:rPr>
          <w:b/>
          <w:lang w:val="en-US"/>
        </w:rPr>
        <w:t>…</w:t>
      </w:r>
    </w:p>
    <w:p w14:paraId="3708F175" w14:textId="77777777" w:rsidR="00147D87" w:rsidRDefault="00147D87" w:rsidP="00226B32">
      <w:pPr>
        <w:pStyle w:val="texto0"/>
        <w:spacing w:line="249" w:lineRule="exact"/>
        <w:ind w:left="1440" w:firstLine="0"/>
        <w:rPr>
          <w:i/>
          <w:lang w:val="en-US"/>
        </w:rPr>
      </w:pPr>
      <w:r w:rsidRPr="009A7B7D">
        <w:rPr>
          <w:i/>
          <w:lang w:val="en-US"/>
        </w:rPr>
        <w:t>CFF 18, 19, 66, 66-A, LIF 8, RCFF 65, RMF 2023 2.11.1., 3.17.3.</w:t>
      </w:r>
    </w:p>
    <w:p w14:paraId="6D23DD0F" w14:textId="77777777" w:rsidR="00147D87" w:rsidRDefault="00147D87" w:rsidP="00226B32">
      <w:pPr>
        <w:pStyle w:val="texto0"/>
        <w:spacing w:line="249" w:lineRule="exact"/>
        <w:ind w:left="1440" w:firstLine="0"/>
        <w:rPr>
          <w:b/>
        </w:rPr>
      </w:pPr>
      <w:bookmarkStart w:id="3" w:name="N_Hlk145000144"/>
      <w:r w:rsidRPr="009A7B7D">
        <w:rPr>
          <w:b/>
        </w:rPr>
        <w:t>Requisitos para operar como órgano certificador autorizado por el SAT</w:t>
      </w:r>
    </w:p>
    <w:p w14:paraId="13E47433" w14:textId="77777777" w:rsidR="00147D87" w:rsidRPr="004527C1" w:rsidRDefault="00147D87" w:rsidP="00226B32">
      <w:pPr>
        <w:pStyle w:val="texto0"/>
        <w:spacing w:line="249" w:lineRule="exact"/>
        <w:ind w:left="1440" w:hanging="1152"/>
        <w:rPr>
          <w:b/>
        </w:rPr>
      </w:pPr>
      <w:r w:rsidRPr="009A7B7D">
        <w:rPr>
          <w:b/>
        </w:rPr>
        <w:t>2.18.1.</w:t>
      </w:r>
      <w:r w:rsidRPr="009A7B7D">
        <w:tab/>
      </w:r>
      <w:r w:rsidRPr="004527C1">
        <w:rPr>
          <w:b/>
        </w:rPr>
        <w:t>...</w:t>
      </w:r>
    </w:p>
    <w:bookmarkEnd w:id="3"/>
    <w:p w14:paraId="3E4A83A5" w14:textId="77777777" w:rsidR="00147D87" w:rsidRPr="004527C1" w:rsidRDefault="00147D87" w:rsidP="00226B32">
      <w:pPr>
        <w:pStyle w:val="texto0"/>
        <w:spacing w:line="249" w:lineRule="exact"/>
        <w:ind w:left="1440" w:firstLine="0"/>
        <w:rPr>
          <w:b/>
        </w:rPr>
      </w:pPr>
      <w:r w:rsidRPr="004527C1">
        <w:rPr>
          <w:b/>
        </w:rPr>
        <w:t>…</w:t>
      </w:r>
    </w:p>
    <w:p w14:paraId="4BA936D8" w14:textId="77777777" w:rsidR="00147D87" w:rsidRPr="004527C1" w:rsidRDefault="00147D87" w:rsidP="00226B32">
      <w:pPr>
        <w:pStyle w:val="texto0"/>
        <w:spacing w:line="249" w:lineRule="exact"/>
        <w:ind w:left="1440" w:firstLine="0"/>
        <w:rPr>
          <w:b/>
        </w:rPr>
      </w:pPr>
      <w:r w:rsidRPr="004527C1">
        <w:rPr>
          <w:b/>
        </w:rPr>
        <w:t>…</w:t>
      </w:r>
    </w:p>
    <w:p w14:paraId="35A9D782" w14:textId="77777777" w:rsidR="00147D87" w:rsidRPr="004527C1" w:rsidRDefault="00147D87" w:rsidP="00226B32">
      <w:pPr>
        <w:pStyle w:val="texto0"/>
        <w:spacing w:line="249" w:lineRule="exact"/>
        <w:ind w:left="1440" w:firstLine="0"/>
        <w:rPr>
          <w:b/>
        </w:rPr>
      </w:pPr>
      <w:r w:rsidRPr="004527C1">
        <w:rPr>
          <w:b/>
        </w:rPr>
        <w:t>…</w:t>
      </w:r>
    </w:p>
    <w:p w14:paraId="4FBD644D" w14:textId="77777777" w:rsidR="00147D87" w:rsidRPr="004527C1" w:rsidRDefault="00147D87" w:rsidP="00226B32">
      <w:pPr>
        <w:pStyle w:val="texto0"/>
        <w:spacing w:line="249" w:lineRule="exact"/>
        <w:ind w:left="1440" w:firstLine="0"/>
        <w:rPr>
          <w:b/>
        </w:rPr>
      </w:pPr>
      <w:r w:rsidRPr="009A7B7D">
        <w:rPr>
          <w:b/>
        </w:rPr>
        <w:t xml:space="preserve">I. </w:t>
      </w:r>
      <w:r w:rsidRPr="009A7B7D">
        <w:t>a</w:t>
      </w:r>
      <w:r w:rsidRPr="009A7B7D">
        <w:rPr>
          <w:b/>
        </w:rPr>
        <w:t xml:space="preserve"> III.</w:t>
      </w:r>
      <w:r w:rsidRPr="009A7B7D">
        <w:t xml:space="preserve"> </w:t>
      </w:r>
      <w:r w:rsidRPr="004527C1">
        <w:rPr>
          <w:b/>
        </w:rPr>
        <w:t>…</w:t>
      </w:r>
    </w:p>
    <w:p w14:paraId="2FBDC227" w14:textId="77777777" w:rsidR="00147D87" w:rsidRPr="009A7B7D" w:rsidRDefault="00147D87" w:rsidP="00226B32">
      <w:pPr>
        <w:pStyle w:val="texto0"/>
        <w:spacing w:line="249" w:lineRule="exact"/>
        <w:ind w:left="2070" w:hanging="630"/>
      </w:pPr>
      <w:r w:rsidRPr="009A7B7D">
        <w:rPr>
          <w:b/>
        </w:rPr>
        <w:t>IV.</w:t>
      </w:r>
      <w:r w:rsidRPr="009A7B7D">
        <w:tab/>
        <w:t>Emitirá el oficio de opinión técnica final de la verificación.</w:t>
      </w:r>
    </w:p>
    <w:p w14:paraId="1DCE2664" w14:textId="77777777" w:rsidR="00147D87" w:rsidRPr="009A7B7D" w:rsidRDefault="00147D87" w:rsidP="00226B32">
      <w:pPr>
        <w:pStyle w:val="texto0"/>
        <w:spacing w:line="249" w:lineRule="exact"/>
        <w:ind w:left="1440" w:firstLine="0"/>
      </w:pPr>
      <w:r w:rsidRPr="009A7B7D">
        <w:t>En el caso de que el oficio de opinión técnica final de la verificación contenga incumplimientos, el aspirante a órgano certificador no podrá presentar nuevamente la solicitud de validación y opinión técnica para operar como órgano certificador en un plazo de seis meses, contados a partir de la fecha de notificación del citado oficio.</w:t>
      </w:r>
    </w:p>
    <w:p w14:paraId="08A3841A" w14:textId="77777777" w:rsidR="00147D87" w:rsidRDefault="00147D87" w:rsidP="00226B32">
      <w:pPr>
        <w:pStyle w:val="texto0"/>
        <w:spacing w:line="249" w:lineRule="exact"/>
        <w:ind w:left="1440" w:firstLine="0"/>
        <w:rPr>
          <w:i/>
        </w:rPr>
      </w:pPr>
      <w:r w:rsidRPr="009A7B7D">
        <w:rPr>
          <w:i/>
        </w:rPr>
        <w:t>CFF 32-I</w:t>
      </w:r>
    </w:p>
    <w:p w14:paraId="040F8EA6" w14:textId="77777777" w:rsidR="00147D87" w:rsidRDefault="00147D87" w:rsidP="00226B32">
      <w:pPr>
        <w:pStyle w:val="texto0"/>
        <w:spacing w:line="230" w:lineRule="exact"/>
        <w:ind w:left="1440" w:firstLine="0"/>
        <w:rPr>
          <w:b/>
        </w:rPr>
      </w:pPr>
      <w:r w:rsidRPr="009A7B7D">
        <w:rPr>
          <w:b/>
        </w:rPr>
        <w:lastRenderedPageBreak/>
        <w:t>Pago de recargos por diferencias derivadas de la aplicación de un coeficiente menor en pagos provisionales</w:t>
      </w:r>
    </w:p>
    <w:p w14:paraId="63E0286E" w14:textId="77777777" w:rsidR="00147D87" w:rsidRPr="009A7B7D" w:rsidRDefault="00147D87" w:rsidP="00226B32">
      <w:pPr>
        <w:pStyle w:val="texto0"/>
        <w:spacing w:line="230" w:lineRule="exact"/>
        <w:ind w:left="1440" w:hanging="1152"/>
      </w:pPr>
      <w:r w:rsidRPr="009A7B7D">
        <w:rPr>
          <w:b/>
        </w:rPr>
        <w:t>3.1.24.</w:t>
      </w:r>
      <w:r w:rsidRPr="009A7B7D">
        <w:tab/>
        <w:t>Para los efectos del artículo 14, séptimo párrafo, inciso b) de la Ley del ISR, el pago de recargos, en lugar de realizarse mediante la presentación de declaraciones complementarias de pagos provisionales, se realizará mediante la declaración anual que se presente en términos de lo dispuesto en el artículo 9 de la Ley del ISR, debiéndose cubrir los recargos correspondientes desde la fecha en que debió presentarse cada pago provisional hasta la presentación de la mencionada declaración anual, utilizando el coeficiente que debió haber aplicado el contribuyente en el momento de efectuar los pagos provisionales.</w:t>
      </w:r>
    </w:p>
    <w:p w14:paraId="297BF1A8" w14:textId="77777777" w:rsidR="00147D87" w:rsidRDefault="00147D87" w:rsidP="00226B32">
      <w:pPr>
        <w:pStyle w:val="texto0"/>
        <w:spacing w:line="230" w:lineRule="exact"/>
        <w:ind w:left="1440" w:firstLine="0"/>
        <w:rPr>
          <w:i/>
        </w:rPr>
      </w:pPr>
      <w:r w:rsidRPr="009A7B7D">
        <w:rPr>
          <w:i/>
        </w:rPr>
        <w:t>LISR 9, 14</w:t>
      </w:r>
    </w:p>
    <w:p w14:paraId="12F290E0" w14:textId="77777777" w:rsidR="00147D87" w:rsidRPr="009A7B7D" w:rsidRDefault="00147D87" w:rsidP="00226B32">
      <w:pPr>
        <w:pStyle w:val="texto0"/>
        <w:spacing w:line="230" w:lineRule="exact"/>
        <w:ind w:left="1440" w:firstLine="0"/>
        <w:rPr>
          <w:b/>
        </w:rPr>
      </w:pPr>
      <w:r w:rsidRPr="009A7B7D">
        <w:rPr>
          <w:b/>
        </w:rPr>
        <w:t>Vigencia y renovación de la autorización para recibir donativos deducibles</w:t>
      </w:r>
    </w:p>
    <w:p w14:paraId="7EACA8DA" w14:textId="77777777" w:rsidR="00147D87" w:rsidRPr="009A7B7D" w:rsidRDefault="00147D87" w:rsidP="00226B32">
      <w:pPr>
        <w:pStyle w:val="texto0"/>
        <w:spacing w:line="230" w:lineRule="exact"/>
        <w:ind w:left="1440" w:hanging="1152"/>
      </w:pPr>
      <w:r w:rsidRPr="009A7B7D">
        <w:rPr>
          <w:b/>
        </w:rPr>
        <w:t>3.10.4.</w:t>
      </w:r>
      <w:r w:rsidRPr="009A7B7D">
        <w:tab/>
        <w:t>Para los efectos de los artículos 36 Bis del CFF, así como 36 y 131 del Reglamento de la Ley del ISR, la autorización para recibir donativos deducibles es vigente únicamente por el ejercicio fiscal por el que se otorgue.</w:t>
      </w:r>
    </w:p>
    <w:p w14:paraId="40D6BE56" w14:textId="77777777" w:rsidR="00147D87" w:rsidRPr="009A7B7D" w:rsidRDefault="00147D87" w:rsidP="00226B32">
      <w:pPr>
        <w:pStyle w:val="texto0"/>
        <w:spacing w:line="230" w:lineRule="exact"/>
        <w:ind w:left="1440" w:hanging="1152"/>
      </w:pPr>
      <w:r w:rsidRPr="009A7B7D">
        <w:tab/>
        <w:t>El ejercicio fiscal a partir del cual se autoriza a las organizaciones civiles y fideicomisos para recibir donativos deducibles se especifica en la constancia de autorización.</w:t>
      </w:r>
    </w:p>
    <w:p w14:paraId="0950CEEC" w14:textId="77777777" w:rsidR="00147D87" w:rsidRPr="009A7B7D" w:rsidRDefault="00147D87" w:rsidP="00226B32">
      <w:pPr>
        <w:pStyle w:val="texto0"/>
        <w:spacing w:line="230" w:lineRule="exact"/>
        <w:ind w:left="1440" w:hanging="1152"/>
      </w:pPr>
      <w:r w:rsidRPr="009A7B7D">
        <w:tab/>
        <w:t>Al concluir el ejercicio fiscal autorizado, sin que sea necesario que el SAT emita un nuevo oficio, se renovará la autorización por el siguiente ejercicio fiscal, siempre que las organizaciones civiles y fideicomisos autorizados cumplan con lo siguiente:</w:t>
      </w:r>
    </w:p>
    <w:p w14:paraId="7C1EF9DD" w14:textId="77777777" w:rsidR="00147D87" w:rsidRPr="009A7B7D" w:rsidRDefault="00147D87" w:rsidP="00226B32">
      <w:pPr>
        <w:pStyle w:val="texto0"/>
        <w:spacing w:line="230" w:lineRule="exact"/>
        <w:ind w:left="1980" w:hanging="540"/>
        <w:rPr>
          <w:i/>
        </w:rPr>
      </w:pPr>
      <w:r w:rsidRPr="009A7B7D">
        <w:rPr>
          <w:b/>
        </w:rPr>
        <w:t>I.</w:t>
      </w:r>
      <w:r w:rsidRPr="009A7B7D">
        <w:tab/>
        <w:t>Que hayan presentado las declaraciones informativas señaladas a continuación:</w:t>
      </w:r>
    </w:p>
    <w:p w14:paraId="4B649416" w14:textId="77777777" w:rsidR="00147D87" w:rsidRPr="009A7B7D" w:rsidRDefault="00147D87" w:rsidP="00226B32">
      <w:pPr>
        <w:pStyle w:val="texto0"/>
        <w:spacing w:line="230" w:lineRule="exact"/>
        <w:ind w:left="2340" w:hanging="360"/>
      </w:pPr>
      <w:r w:rsidRPr="009A7B7D">
        <w:rPr>
          <w:b/>
        </w:rPr>
        <w:t>a)</w:t>
      </w:r>
      <w:r w:rsidRPr="009A7B7D">
        <w:tab/>
        <w:t>La establecida en la regla 3.10.10. y la ficha de trámite 19/ISR “Declaración informativa para garantizar la transparencia del patrimonio, así como el uso y destino de los donativos recibidos y actividades destinadas a influir en la legislación”, contenida en el Anexo 1-A, correspondiente al ejercicio inmediato anterior.</w:t>
      </w:r>
    </w:p>
    <w:p w14:paraId="6C91F31F" w14:textId="77777777" w:rsidR="00147D87" w:rsidRPr="009A7B7D" w:rsidRDefault="00147D87" w:rsidP="00226B32">
      <w:pPr>
        <w:pStyle w:val="texto0"/>
        <w:spacing w:line="230" w:lineRule="exact"/>
        <w:ind w:left="2340" w:hanging="360"/>
      </w:pPr>
      <w:r w:rsidRPr="009A7B7D">
        <w:rPr>
          <w:b/>
        </w:rPr>
        <w:t>b)</w:t>
      </w:r>
      <w:r w:rsidRPr="009A7B7D">
        <w:tab/>
        <w:t>La señalada en el artículo 86, tercer párrafo de la Ley del ISR, relativa a los ingresos obtenidos y erogaciones efectuadas, correspondiente al ejercicio inmediato anterior.</w:t>
      </w:r>
    </w:p>
    <w:p w14:paraId="3628D204" w14:textId="77777777" w:rsidR="00147D87" w:rsidRPr="009A7B7D" w:rsidRDefault="00147D87" w:rsidP="00226B32">
      <w:pPr>
        <w:pStyle w:val="texto0"/>
        <w:spacing w:line="230" w:lineRule="exact"/>
        <w:ind w:left="2340" w:hanging="360"/>
      </w:pPr>
      <w:r w:rsidRPr="009A7B7D">
        <w:rPr>
          <w:b/>
        </w:rPr>
        <w:t>c)</w:t>
      </w:r>
      <w:r w:rsidRPr="009A7B7D">
        <w:tab/>
        <w:t>La referida en la regla 3.10.27. y la ficha de trámite 146/ISR “Declaración Informativa de donativos para mitigar y combatir el virus SARS-CoV2”, contenida en el Anexo 1-A, tratándose de las organizaciones civiles y fideicomisos para recibir donativos deducibles a que se refiere la citada regla.</w:t>
      </w:r>
    </w:p>
    <w:p w14:paraId="570DB08E" w14:textId="77777777" w:rsidR="00147D87" w:rsidRPr="009A7B7D" w:rsidRDefault="00147D87" w:rsidP="00E25A48">
      <w:pPr>
        <w:pStyle w:val="texto0"/>
        <w:spacing w:line="230" w:lineRule="exact"/>
        <w:ind w:left="1987" w:hanging="547"/>
      </w:pPr>
      <w:r w:rsidRPr="009A7B7D">
        <w:rPr>
          <w:b/>
        </w:rPr>
        <w:t>II.</w:t>
      </w:r>
      <w:r w:rsidRPr="009A7B7D">
        <w:tab/>
        <w:t>No incurran en alguna de las causales de revocación a que se refiere el artículo</w:t>
      </w:r>
      <w:r w:rsidR="0084733D">
        <w:t xml:space="preserve"> </w:t>
      </w:r>
      <w:r w:rsidRPr="009A7B7D">
        <w:t>82-Quater, apartado A de la Ley del ISR.</w:t>
      </w:r>
    </w:p>
    <w:p w14:paraId="433B0DE7" w14:textId="77777777" w:rsidR="00147D87" w:rsidRPr="009A7B7D" w:rsidRDefault="00147D87" w:rsidP="00E25A48">
      <w:pPr>
        <w:pStyle w:val="texto0"/>
        <w:spacing w:line="230" w:lineRule="exact"/>
        <w:ind w:left="1987" w:hanging="547"/>
      </w:pPr>
      <w:r w:rsidRPr="009A7B7D">
        <w:rPr>
          <w:b/>
        </w:rPr>
        <w:t>III.</w:t>
      </w:r>
      <w:r w:rsidRPr="009A7B7D">
        <w:tab/>
        <w:t>No se encuentren con estatus cancelado ante el RFC.</w:t>
      </w:r>
    </w:p>
    <w:p w14:paraId="4B913A59" w14:textId="77777777" w:rsidR="00147D87" w:rsidRPr="009A7B7D" w:rsidRDefault="00147D87" w:rsidP="00226B32">
      <w:pPr>
        <w:pStyle w:val="texto0"/>
        <w:spacing w:line="230" w:lineRule="exact"/>
        <w:ind w:left="1440" w:hanging="1152"/>
      </w:pPr>
      <w:r w:rsidRPr="009A7B7D">
        <w:tab/>
        <w:t>El SAT dará a conocer, a través del Anexo 14, las organizaciones civiles y fideicomisos cuya autorización se encuentre vigente, así como aquéllas que hayan perdido la vigencia de dicha autorización, derivado del incumplimiento de cualquiera de los requisitos establecidos en las fracciones anteriores, sin que ello las exima del cumplimiento de las obligaciones fiscales que tengan pendientes con motivo de su autorización.</w:t>
      </w:r>
    </w:p>
    <w:p w14:paraId="1D784399" w14:textId="77777777" w:rsidR="00147D87" w:rsidRPr="009A7B7D" w:rsidRDefault="00147D87" w:rsidP="00226B32">
      <w:pPr>
        <w:pStyle w:val="texto0"/>
        <w:spacing w:line="230" w:lineRule="exact"/>
        <w:ind w:left="1440" w:hanging="1152"/>
      </w:pPr>
      <w:r w:rsidRPr="009A7B7D">
        <w:tab/>
        <w:t>Los donativos recibidos durante el ejercicio por el que se perdió la vigencia de la autorización y hasta la publicación de esta, serán considerados como ingresos acumulables para las organizaciones civiles y fideicomisos que recibieron dichos donativos, en tanto no recuperen la autorización en el mismo ejercicio fiscal en que la perdieron.</w:t>
      </w:r>
    </w:p>
    <w:p w14:paraId="29C60133" w14:textId="77777777" w:rsidR="00147D87" w:rsidRPr="009A7B7D" w:rsidRDefault="00147D87" w:rsidP="00226B32">
      <w:pPr>
        <w:pStyle w:val="texto0"/>
        <w:spacing w:line="230" w:lineRule="exact"/>
        <w:ind w:left="1440" w:hanging="1152"/>
      </w:pPr>
      <w:r w:rsidRPr="009A7B7D">
        <w:tab/>
        <w:t>Las organizaciones civiles y fideicomisos autorizados para recibir donativos deducibles que en términos de la regla 2.5.10., quinto y sexto párrafos, no presenten el aviso de reanudación de actividades o de cancelación ante el RFC, así como aquellas que se encuentran canceladas en dicho registro, perderán la vigencia de su autorización, situación que será publicada en el Anexo 14 y directorio de donatarias.</w:t>
      </w:r>
    </w:p>
    <w:p w14:paraId="2C28D958" w14:textId="77777777" w:rsidR="00147D87" w:rsidRDefault="00147D87" w:rsidP="00226B32">
      <w:pPr>
        <w:pStyle w:val="texto0"/>
        <w:spacing w:line="230" w:lineRule="exact"/>
        <w:ind w:left="1440" w:hanging="1152"/>
        <w:rPr>
          <w:i/>
          <w:lang w:val="en-US"/>
        </w:rPr>
      </w:pPr>
      <w:r w:rsidRPr="009A7B7D">
        <w:rPr>
          <w:i/>
        </w:rPr>
        <w:tab/>
      </w:r>
      <w:r w:rsidRPr="009A7B7D">
        <w:rPr>
          <w:i/>
          <w:lang w:val="en-US"/>
        </w:rPr>
        <w:t>CFF 27, 36 Bis, LISR 82-</w:t>
      </w:r>
      <w:r w:rsidRPr="009A7B7D">
        <w:rPr>
          <w:lang w:val="en-US"/>
        </w:rPr>
        <w:t>Quater</w:t>
      </w:r>
      <w:r w:rsidRPr="009A7B7D">
        <w:rPr>
          <w:i/>
          <w:lang w:val="en-US"/>
        </w:rPr>
        <w:t>, 86, RCFF 29, RLISR 36, 131, RMF 2023 2.5.10., 2.5.13.</w:t>
      </w:r>
    </w:p>
    <w:p w14:paraId="3626DA50" w14:textId="77777777" w:rsidR="00147D87" w:rsidRDefault="00147D87" w:rsidP="00226B32">
      <w:pPr>
        <w:pStyle w:val="texto0"/>
        <w:spacing w:after="60" w:line="214" w:lineRule="exact"/>
        <w:ind w:left="1440" w:firstLine="0"/>
        <w:rPr>
          <w:b/>
        </w:rPr>
      </w:pPr>
      <w:r w:rsidRPr="009A7B7D">
        <w:rPr>
          <w:b/>
        </w:rPr>
        <w:lastRenderedPageBreak/>
        <w:t>Suspensión en el RFC de contribuyentes del Régimen Simplificado de Confianza inactivos</w:t>
      </w:r>
    </w:p>
    <w:p w14:paraId="0B9204A2" w14:textId="77777777" w:rsidR="00147D87" w:rsidRPr="009A7B7D" w:rsidRDefault="00147D87" w:rsidP="00226B32">
      <w:pPr>
        <w:pStyle w:val="texto0"/>
        <w:spacing w:after="60" w:line="214" w:lineRule="exact"/>
        <w:ind w:left="1440" w:hanging="1152"/>
      </w:pPr>
      <w:r w:rsidRPr="009A7B7D">
        <w:rPr>
          <w:b/>
        </w:rPr>
        <w:t>3.13.36.</w:t>
      </w:r>
      <w:r w:rsidRPr="009A7B7D">
        <w:tab/>
        <w:t>Para los efectos de los artículos 113-E, tercer párrafo y 113-I, segundo párrafo de la Ley del ISR, cuando la autoridad fiscal detecte que los contribuyentes personas físicas que tributan en términos del Título IV, Capítulo II, Sección IV, en el ejercicio fiscal, no hayan emitido comprobantes fiscales, presentado pago mensual alguno, así como la declaración</w:t>
      </w:r>
      <w:r w:rsidR="0084733D">
        <w:t xml:space="preserve"> </w:t>
      </w:r>
      <w:r w:rsidRPr="009A7B7D">
        <w:t>anual del ejercicio fiscal 2022, podrá suspenderlos en el RFC sin que medie solicitud</w:t>
      </w:r>
      <w:r w:rsidR="0084733D">
        <w:t xml:space="preserve"> </w:t>
      </w:r>
      <w:r w:rsidRPr="009A7B7D">
        <w:t>del contribuyente.</w:t>
      </w:r>
    </w:p>
    <w:p w14:paraId="7BC87EF5" w14:textId="77777777" w:rsidR="00147D87" w:rsidRPr="009A7B7D" w:rsidRDefault="00147D87" w:rsidP="00226B32">
      <w:pPr>
        <w:pStyle w:val="texto0"/>
        <w:spacing w:after="60" w:line="214" w:lineRule="exact"/>
        <w:ind w:left="1440" w:firstLine="0"/>
      </w:pPr>
      <w:r w:rsidRPr="009A7B7D">
        <w:t>Aquellos contribuyentes que sean suspendidos en términos de la presente regla, podrán presentar el aviso de reanudación de actividades en términos de la regla 3.13.2.</w:t>
      </w:r>
    </w:p>
    <w:p w14:paraId="55BB817A" w14:textId="77777777" w:rsidR="00147D87" w:rsidRDefault="00147D87" w:rsidP="00226B32">
      <w:pPr>
        <w:pStyle w:val="texto0"/>
        <w:spacing w:after="60" w:line="214" w:lineRule="exact"/>
        <w:ind w:left="1440" w:firstLine="0"/>
        <w:rPr>
          <w:i/>
        </w:rPr>
      </w:pPr>
      <w:r w:rsidRPr="009A7B7D">
        <w:rPr>
          <w:i/>
        </w:rPr>
        <w:t>LISR 113-E, 113-I, RMF 2023 2.5.8., 3.13.2.</w:t>
      </w:r>
    </w:p>
    <w:p w14:paraId="1563048F" w14:textId="77777777" w:rsidR="00147D87" w:rsidRDefault="00147D87" w:rsidP="00226B32">
      <w:pPr>
        <w:pStyle w:val="texto0"/>
        <w:spacing w:after="60" w:line="214" w:lineRule="exact"/>
        <w:ind w:left="1440" w:firstLine="0"/>
        <w:rPr>
          <w:b/>
        </w:rPr>
      </w:pPr>
      <w:r w:rsidRPr="009A7B7D">
        <w:rPr>
          <w:b/>
        </w:rPr>
        <w:t>Baja del padrón de contribuyentes de bebidas alcohólicas en el RFC</w:t>
      </w:r>
    </w:p>
    <w:p w14:paraId="12B29042" w14:textId="77777777" w:rsidR="00147D87" w:rsidRPr="004527C1" w:rsidRDefault="00147D87" w:rsidP="00226B32">
      <w:pPr>
        <w:pStyle w:val="texto0"/>
        <w:spacing w:after="60" w:line="214" w:lineRule="exact"/>
        <w:ind w:left="1440" w:hanging="1152"/>
        <w:rPr>
          <w:b/>
        </w:rPr>
      </w:pPr>
      <w:r w:rsidRPr="009A7B7D">
        <w:rPr>
          <w:b/>
        </w:rPr>
        <w:t>5.2.23.</w:t>
      </w:r>
      <w:r w:rsidRPr="009A7B7D">
        <w:rPr>
          <w:b/>
        </w:rPr>
        <w:tab/>
      </w:r>
      <w:r w:rsidRPr="004527C1">
        <w:rPr>
          <w:b/>
        </w:rPr>
        <w:t>…</w:t>
      </w:r>
    </w:p>
    <w:p w14:paraId="6754F131" w14:textId="77777777" w:rsidR="00147D87" w:rsidRPr="004527C1" w:rsidRDefault="00147D87" w:rsidP="00226B32">
      <w:pPr>
        <w:pStyle w:val="texto0"/>
        <w:spacing w:after="60" w:line="214" w:lineRule="exact"/>
        <w:ind w:left="1440" w:firstLine="0"/>
        <w:rPr>
          <w:b/>
        </w:rPr>
      </w:pPr>
      <w:r w:rsidRPr="009A7B7D">
        <w:rPr>
          <w:b/>
        </w:rPr>
        <w:t>I.</w:t>
      </w:r>
      <w:r w:rsidRPr="009A7B7D">
        <w:t xml:space="preserve"> a </w:t>
      </w:r>
      <w:r w:rsidRPr="009A7B7D">
        <w:rPr>
          <w:b/>
        </w:rPr>
        <w:t>IV.</w:t>
      </w:r>
      <w:r w:rsidR="004527C1">
        <w:t xml:space="preserve"> </w:t>
      </w:r>
      <w:r w:rsidRPr="004527C1">
        <w:rPr>
          <w:b/>
        </w:rPr>
        <w:t>…</w:t>
      </w:r>
    </w:p>
    <w:p w14:paraId="40B5CE00" w14:textId="77777777" w:rsidR="00147D87" w:rsidRPr="009A7B7D" w:rsidRDefault="00147D87" w:rsidP="00226B32">
      <w:pPr>
        <w:pStyle w:val="texto0"/>
        <w:spacing w:after="60" w:line="214" w:lineRule="exact"/>
        <w:ind w:left="1980" w:hanging="540"/>
      </w:pPr>
      <w:r w:rsidRPr="009A7B7D">
        <w:rPr>
          <w:b/>
        </w:rPr>
        <w:t>V.</w:t>
      </w:r>
      <w:r w:rsidRPr="009A7B7D">
        <w:tab/>
        <w:t>Presente alguno de los avisos a que se refiere el artículo 29, fracciones I, II y III, o cualquiera de los avisos de cancelación en el RFC señalados en las fracciones XII a XVI del Reglamento del CFF.</w:t>
      </w:r>
    </w:p>
    <w:p w14:paraId="19ACB0BE" w14:textId="77777777" w:rsidR="00147D87" w:rsidRPr="009A7B7D" w:rsidRDefault="00147D87" w:rsidP="00226B32">
      <w:pPr>
        <w:pStyle w:val="texto0"/>
        <w:spacing w:after="60" w:line="214" w:lineRule="exact"/>
        <w:ind w:left="1980" w:hanging="540"/>
      </w:pPr>
      <w:r w:rsidRPr="009A7B7D">
        <w:rPr>
          <w:b/>
        </w:rPr>
        <w:t>VI.</w:t>
      </w:r>
      <w:r w:rsidRPr="009A7B7D">
        <w:rPr>
          <w:b/>
        </w:rPr>
        <w:tab/>
      </w:r>
      <w:r w:rsidRPr="004527C1">
        <w:rPr>
          <w:b/>
        </w:rPr>
        <w:t>…</w:t>
      </w:r>
    </w:p>
    <w:p w14:paraId="11051B3B" w14:textId="77777777" w:rsidR="00147D87" w:rsidRPr="009A7B7D" w:rsidRDefault="00147D87" w:rsidP="00226B32">
      <w:pPr>
        <w:pStyle w:val="texto0"/>
        <w:spacing w:after="60" w:line="214" w:lineRule="exact"/>
        <w:ind w:left="1980" w:hanging="540"/>
        <w:rPr>
          <w:b/>
        </w:rPr>
      </w:pPr>
      <w:r w:rsidRPr="009A7B7D">
        <w:rPr>
          <w:b/>
        </w:rPr>
        <w:t>VII.</w:t>
      </w:r>
      <w:r w:rsidRPr="009A7B7D">
        <w:rPr>
          <w:b/>
        </w:rPr>
        <w:tab/>
      </w:r>
      <w:r w:rsidRPr="009A7B7D">
        <w:t>Se detecte que el domicilio fiscal y/o establecimientos en que se fabrican, producen, envasan o almacenan bebidas alcohólicas corresponde a una ADSC diferente a aquella en la que se encontraba registrada en el RFC.</w:t>
      </w:r>
    </w:p>
    <w:p w14:paraId="0BF24E60" w14:textId="77777777" w:rsidR="00147D87" w:rsidRPr="004527C1" w:rsidRDefault="00147D87" w:rsidP="00226B32">
      <w:pPr>
        <w:pStyle w:val="texto0"/>
        <w:spacing w:after="60" w:line="214" w:lineRule="exact"/>
        <w:ind w:left="1980" w:hanging="540"/>
        <w:rPr>
          <w:b/>
        </w:rPr>
      </w:pPr>
      <w:r w:rsidRPr="009A7B7D">
        <w:rPr>
          <w:b/>
        </w:rPr>
        <w:t>VIII.</w:t>
      </w:r>
      <w:r w:rsidRPr="009A7B7D">
        <w:rPr>
          <w:b/>
        </w:rPr>
        <w:tab/>
      </w:r>
      <w:r w:rsidRPr="004527C1">
        <w:rPr>
          <w:b/>
        </w:rPr>
        <w:t>…</w:t>
      </w:r>
    </w:p>
    <w:p w14:paraId="69B5653B" w14:textId="77777777" w:rsidR="00147D87" w:rsidRPr="004527C1" w:rsidRDefault="00147D87" w:rsidP="00226B32">
      <w:pPr>
        <w:pStyle w:val="texto0"/>
        <w:spacing w:after="60" w:line="214" w:lineRule="exact"/>
        <w:ind w:left="1980" w:hanging="540"/>
        <w:rPr>
          <w:b/>
        </w:rPr>
      </w:pPr>
      <w:r w:rsidRPr="004527C1">
        <w:rPr>
          <w:b/>
        </w:rPr>
        <w:t>IX.</w:t>
      </w:r>
      <w:r w:rsidRPr="004527C1">
        <w:rPr>
          <w:b/>
        </w:rPr>
        <w:tab/>
        <w:t>…</w:t>
      </w:r>
    </w:p>
    <w:p w14:paraId="6EF976A7" w14:textId="77777777" w:rsidR="00147D87" w:rsidRPr="004527C1" w:rsidRDefault="00147D87" w:rsidP="00226B32">
      <w:pPr>
        <w:pStyle w:val="texto0"/>
        <w:spacing w:after="60" w:line="214" w:lineRule="exact"/>
        <w:ind w:left="1980" w:hanging="540"/>
        <w:rPr>
          <w:b/>
        </w:rPr>
      </w:pPr>
      <w:r w:rsidRPr="004527C1">
        <w:rPr>
          <w:b/>
        </w:rPr>
        <w:t>X.</w:t>
      </w:r>
      <w:r w:rsidRPr="004527C1">
        <w:rPr>
          <w:b/>
        </w:rPr>
        <w:tab/>
        <w:t>...</w:t>
      </w:r>
    </w:p>
    <w:p w14:paraId="7349C5EC" w14:textId="77777777" w:rsidR="00147D87" w:rsidRPr="004527C1" w:rsidRDefault="00147D87" w:rsidP="00226B32">
      <w:pPr>
        <w:pStyle w:val="texto0"/>
        <w:spacing w:after="60" w:line="214" w:lineRule="exact"/>
        <w:ind w:left="1980" w:hanging="540"/>
        <w:rPr>
          <w:b/>
        </w:rPr>
      </w:pPr>
      <w:r w:rsidRPr="004527C1">
        <w:rPr>
          <w:b/>
        </w:rPr>
        <w:t>XI.</w:t>
      </w:r>
      <w:r w:rsidRPr="004527C1">
        <w:rPr>
          <w:b/>
        </w:rPr>
        <w:tab/>
        <w:t>...</w:t>
      </w:r>
    </w:p>
    <w:p w14:paraId="703AE618" w14:textId="77777777" w:rsidR="00147D87" w:rsidRPr="004527C1" w:rsidRDefault="00147D87" w:rsidP="00226B32">
      <w:pPr>
        <w:pStyle w:val="texto0"/>
        <w:spacing w:after="60" w:line="214" w:lineRule="exact"/>
        <w:ind w:left="1980" w:hanging="540"/>
        <w:rPr>
          <w:b/>
        </w:rPr>
      </w:pPr>
      <w:r w:rsidRPr="004527C1">
        <w:rPr>
          <w:b/>
        </w:rPr>
        <w:t>XII.</w:t>
      </w:r>
      <w:r w:rsidRPr="004527C1">
        <w:rPr>
          <w:b/>
        </w:rPr>
        <w:tab/>
        <w:t>...</w:t>
      </w:r>
    </w:p>
    <w:p w14:paraId="1E9A0E32" w14:textId="77777777" w:rsidR="00147D87" w:rsidRPr="004527C1" w:rsidRDefault="00147D87" w:rsidP="00226B32">
      <w:pPr>
        <w:pStyle w:val="texto0"/>
        <w:spacing w:after="60" w:line="214" w:lineRule="exact"/>
        <w:ind w:left="1980" w:hanging="540"/>
        <w:rPr>
          <w:b/>
        </w:rPr>
      </w:pPr>
      <w:r w:rsidRPr="004527C1">
        <w:rPr>
          <w:b/>
        </w:rPr>
        <w:t>XIII.</w:t>
      </w:r>
      <w:r w:rsidRPr="004527C1">
        <w:rPr>
          <w:b/>
        </w:rPr>
        <w:tab/>
        <w:t>...</w:t>
      </w:r>
    </w:p>
    <w:p w14:paraId="171F6829" w14:textId="77777777" w:rsidR="00147D87" w:rsidRPr="004527C1" w:rsidRDefault="00147D87" w:rsidP="00226B32">
      <w:pPr>
        <w:pStyle w:val="texto0"/>
        <w:spacing w:after="60" w:line="214" w:lineRule="exact"/>
        <w:ind w:left="1440" w:firstLine="0"/>
        <w:rPr>
          <w:i/>
          <w:lang w:val="en-US"/>
        </w:rPr>
      </w:pPr>
      <w:r w:rsidRPr="004527C1">
        <w:rPr>
          <w:i/>
          <w:lang w:val="en-US"/>
        </w:rPr>
        <w:t>CFF 27, 69, 69-B, LIEPS 19, RCFF 29, 30, RMF 2023 2.1.37., 5.3.1.</w:t>
      </w:r>
    </w:p>
    <w:p w14:paraId="2AEBB820" w14:textId="77777777" w:rsidR="00147D87" w:rsidRDefault="00147D87" w:rsidP="00226B32">
      <w:pPr>
        <w:pStyle w:val="texto0"/>
        <w:spacing w:after="60" w:line="214" w:lineRule="exact"/>
        <w:ind w:left="1440" w:firstLine="0"/>
        <w:rPr>
          <w:b/>
        </w:rPr>
      </w:pPr>
      <w:bookmarkStart w:id="4" w:name="N_Hlk141865766"/>
      <w:r w:rsidRPr="009A7B7D">
        <w:rPr>
          <w:b/>
        </w:rPr>
        <w:t>Procedimientos para el pago de derechos</w:t>
      </w:r>
    </w:p>
    <w:p w14:paraId="30036530" w14:textId="77777777" w:rsidR="00147D87" w:rsidRPr="009A7B7D" w:rsidRDefault="00147D87" w:rsidP="00226B32">
      <w:pPr>
        <w:pStyle w:val="texto0"/>
        <w:spacing w:after="60" w:line="214" w:lineRule="exact"/>
        <w:ind w:left="1440" w:hanging="1152"/>
      </w:pPr>
      <w:r w:rsidRPr="009A7B7D">
        <w:rPr>
          <w:b/>
        </w:rPr>
        <w:t>7.42.</w:t>
      </w:r>
      <w:r w:rsidRPr="009A7B7D">
        <w:rPr>
          <w:b/>
        </w:rPr>
        <w:tab/>
      </w:r>
      <w:r w:rsidRPr="009A7B7D">
        <w:t>Para los efectos de los artículos 8, 12, 211-A, 211-B, 212, 213, 219, 221, 222, 226, 232, 232-A, 232-C, 232-D-1, 234, 236, 237, 238, 276, 283, 288-A, 288-A-3 y 289 de la LFD, el pago de los derechos establecidos en los mismos, se entenderá realizado cuando se efectúe de conformidad con el procedimiento establecido en las reglas 2.8.4.1. o 2.8.5.1., según corresponda.</w:t>
      </w:r>
    </w:p>
    <w:p w14:paraId="0D4DB9CF" w14:textId="77777777" w:rsidR="00147D87" w:rsidRDefault="00147D87" w:rsidP="00226B32">
      <w:pPr>
        <w:pStyle w:val="texto0"/>
        <w:spacing w:after="60" w:line="214" w:lineRule="exact"/>
        <w:ind w:left="1440" w:firstLine="0"/>
        <w:rPr>
          <w:i/>
        </w:rPr>
      </w:pPr>
      <w:r w:rsidRPr="009A7B7D">
        <w:rPr>
          <w:i/>
        </w:rPr>
        <w:t>LFD 8, 12, 211-A, 211-B, 212, 213, 219, 221, 222, 226, 232, 232-A, 232-C, 232-D-1, 234, 236, 237, 238, 276, 283, 288-A, 288-A-3, 289, RMF 2023 2.8.4.1., 2.8.5.1.</w:t>
      </w:r>
      <w:bookmarkEnd w:id="4"/>
    </w:p>
    <w:p w14:paraId="79DDE5BB" w14:textId="77777777" w:rsidR="00147D87" w:rsidRPr="009A7B7D" w:rsidRDefault="00147D87" w:rsidP="00226B32">
      <w:pPr>
        <w:pStyle w:val="texto0"/>
        <w:spacing w:after="60" w:line="214" w:lineRule="exact"/>
        <w:ind w:left="1440" w:firstLine="0"/>
        <w:rPr>
          <w:b/>
        </w:rPr>
      </w:pPr>
      <w:r w:rsidRPr="009A7B7D">
        <w:rPr>
          <w:b/>
        </w:rPr>
        <w:t>Embalaje para la conservación de esculturas</w:t>
      </w:r>
    </w:p>
    <w:p w14:paraId="50C3253A" w14:textId="77777777" w:rsidR="00147D87" w:rsidRDefault="00147D87" w:rsidP="00226B32">
      <w:pPr>
        <w:pStyle w:val="texto0"/>
        <w:spacing w:after="60" w:line="214" w:lineRule="exact"/>
        <w:ind w:left="1440" w:hanging="1152"/>
        <w:rPr>
          <w:b/>
          <w:position w:val="9"/>
          <w:szCs w:val="16"/>
        </w:rPr>
      </w:pPr>
      <w:r w:rsidRPr="009A7B7D">
        <w:rPr>
          <w:b/>
        </w:rPr>
        <w:t>11.1.9.</w:t>
      </w:r>
      <w:r w:rsidRPr="009A7B7D">
        <w:tab/>
        <w:t>Para los efectos del artículo Cuarto del Decreto a que se refiere este Capítulo, tratándose de esculturas, el contribuyente deberá entregarlas en una caja de madera, madera contrachapada o triplay, o bien, de fibropanel de densidad media o “MDF” elaborada específicamente para la escultura, que permita su conservación y traslado en óptimas condiciones.</w:t>
      </w:r>
    </w:p>
    <w:p w14:paraId="69780A4B" w14:textId="77777777" w:rsidR="00147D87" w:rsidRPr="004527C1" w:rsidRDefault="00147D87" w:rsidP="00226B32">
      <w:pPr>
        <w:pStyle w:val="texto0"/>
        <w:spacing w:after="60" w:line="214" w:lineRule="exact"/>
        <w:ind w:left="1440" w:firstLine="0"/>
        <w:rPr>
          <w:b/>
        </w:rPr>
      </w:pPr>
      <w:r w:rsidRPr="004527C1">
        <w:rPr>
          <w:b/>
        </w:rPr>
        <w:t>...</w:t>
      </w:r>
    </w:p>
    <w:p w14:paraId="3D2FD27C" w14:textId="77777777" w:rsidR="00147D87" w:rsidRDefault="00147D87" w:rsidP="00226B32">
      <w:pPr>
        <w:pStyle w:val="texto0"/>
        <w:spacing w:after="60" w:line="214" w:lineRule="exact"/>
        <w:ind w:left="1440" w:firstLine="0"/>
        <w:rPr>
          <w:i/>
        </w:rPr>
      </w:pPr>
      <w:r w:rsidRPr="009A7B7D">
        <w:rPr>
          <w:i/>
        </w:rPr>
        <w:t>Decreto 31/10/94 Cuarto</w:t>
      </w:r>
    </w:p>
    <w:p w14:paraId="6EAAC6D2" w14:textId="77777777" w:rsidR="00147D87" w:rsidRDefault="00147D87" w:rsidP="004527C1">
      <w:pPr>
        <w:pStyle w:val="texto0"/>
        <w:ind w:left="1440" w:firstLine="0"/>
        <w:rPr>
          <w:b/>
        </w:rPr>
      </w:pPr>
      <w:r w:rsidRPr="009A7B7D">
        <w:rPr>
          <w:b/>
        </w:rPr>
        <w:t>Aviso para designar a un representante legal y proporcionar un domicilio en territorio nacional</w:t>
      </w:r>
    </w:p>
    <w:p w14:paraId="289A5615" w14:textId="77777777" w:rsidR="00147D87" w:rsidRPr="004527C1" w:rsidRDefault="00147D87" w:rsidP="004527C1">
      <w:pPr>
        <w:pStyle w:val="texto0"/>
        <w:ind w:left="1440" w:hanging="1152"/>
        <w:rPr>
          <w:b/>
        </w:rPr>
      </w:pPr>
      <w:r w:rsidRPr="009A7B7D">
        <w:rPr>
          <w:b/>
        </w:rPr>
        <w:t>12.1.3.</w:t>
      </w:r>
      <w:r w:rsidRPr="009A7B7D">
        <w:rPr>
          <w:b/>
        </w:rPr>
        <w:tab/>
      </w:r>
      <w:r w:rsidRPr="004527C1">
        <w:rPr>
          <w:b/>
        </w:rPr>
        <w:t>...</w:t>
      </w:r>
    </w:p>
    <w:p w14:paraId="43E53DC5" w14:textId="77777777" w:rsidR="00147D87" w:rsidRPr="009A7B7D" w:rsidRDefault="00147D87" w:rsidP="004527C1">
      <w:pPr>
        <w:pStyle w:val="texto0"/>
        <w:ind w:left="1440" w:firstLine="0"/>
      </w:pPr>
      <w:r w:rsidRPr="009A7B7D">
        <w:t>En el caso de que se realice alguna modificación en el domicilio en territorio nacional o de representante legal para efectos de notificación y vigilancia del cumplimiento de las obligaciones fiscales, se deberá presentar un aviso informando de los mismos mediante un caso de aclaración a través del Portal del SAT, adjuntando los requisitos señalados en los numerales 3, 4 y 5 de la ficha de trámite 1/PLT “Solicitud de inscripción en el RFC de residentes en el extranjero que proporcionen servicios digitales”, contenida en el Anexo 1-A.</w:t>
      </w:r>
    </w:p>
    <w:p w14:paraId="4C7F75BF" w14:textId="77777777" w:rsidR="00147D87" w:rsidRDefault="00147D87" w:rsidP="004527C1">
      <w:pPr>
        <w:pStyle w:val="texto0"/>
        <w:ind w:left="1440" w:firstLine="0"/>
        <w:rPr>
          <w:i/>
        </w:rPr>
      </w:pPr>
      <w:r w:rsidRPr="009A7B7D">
        <w:rPr>
          <w:i/>
        </w:rPr>
        <w:t>LISR 113-C, LIVA 18-D, RMF 2023 12.1.1.</w:t>
      </w:r>
    </w:p>
    <w:p w14:paraId="50D50FA8" w14:textId="77777777" w:rsidR="00147D87" w:rsidRPr="009A7B7D" w:rsidRDefault="00147D87" w:rsidP="00226B32">
      <w:pPr>
        <w:pStyle w:val="texto0"/>
        <w:spacing w:line="234" w:lineRule="exact"/>
        <w:ind w:left="1440" w:firstLine="0"/>
        <w:rPr>
          <w:b/>
          <w:lang w:val="es-ES_tradnl"/>
        </w:rPr>
      </w:pPr>
      <w:bookmarkStart w:id="5" w:name="N_Hlk146621208"/>
      <w:r w:rsidRPr="009A7B7D">
        <w:rPr>
          <w:b/>
          <w:lang w:val="es-ES_tradnl"/>
        </w:rPr>
        <w:lastRenderedPageBreak/>
        <w:t>Declaración de pago de los derechos por la utilidad compartida y de extracción</w:t>
      </w:r>
      <w:r w:rsidR="0084733D">
        <w:rPr>
          <w:b/>
          <w:lang w:val="es-ES_tradnl"/>
        </w:rPr>
        <w:t xml:space="preserve"> </w:t>
      </w:r>
      <w:r w:rsidRPr="009A7B7D">
        <w:rPr>
          <w:b/>
          <w:lang w:val="es-ES_tradnl"/>
        </w:rPr>
        <w:t>de hidrocarburos</w:t>
      </w:r>
    </w:p>
    <w:p w14:paraId="18C66FC2" w14:textId="77777777" w:rsidR="00147D87" w:rsidRPr="004527C1" w:rsidRDefault="00147D87" w:rsidP="00226B32">
      <w:pPr>
        <w:pStyle w:val="texto0"/>
        <w:spacing w:line="234" w:lineRule="exact"/>
        <w:ind w:left="1440" w:hanging="1152"/>
        <w:rPr>
          <w:b/>
          <w:color w:val="000000"/>
          <w:lang w:val="es-ES_tradnl"/>
        </w:rPr>
      </w:pPr>
      <w:r w:rsidRPr="009A7B7D">
        <w:rPr>
          <w:b/>
          <w:lang w:val="es-ES_tradnl"/>
        </w:rPr>
        <w:t>13.1.</w:t>
      </w:r>
      <w:r w:rsidRPr="009A7B7D">
        <w:rPr>
          <w:b/>
          <w:lang w:val="es-ES_tradnl"/>
        </w:rPr>
        <w:tab/>
      </w:r>
      <w:r w:rsidRPr="004527C1">
        <w:rPr>
          <w:b/>
          <w:lang w:val="es-ES_tradnl"/>
        </w:rPr>
        <w:t>…</w:t>
      </w:r>
    </w:p>
    <w:p w14:paraId="0FBA2325" w14:textId="77777777" w:rsidR="00147D87" w:rsidRPr="004527C1" w:rsidRDefault="00147D87" w:rsidP="00226B32">
      <w:pPr>
        <w:pStyle w:val="texto0"/>
        <w:spacing w:line="234" w:lineRule="exact"/>
        <w:ind w:left="1440" w:firstLine="0"/>
        <w:rPr>
          <w:b/>
          <w:lang w:val="es-ES_tradnl"/>
        </w:rPr>
      </w:pPr>
      <w:r w:rsidRPr="009A7B7D">
        <w:rPr>
          <w:b/>
          <w:lang w:val="es-ES_tradnl"/>
        </w:rPr>
        <w:t xml:space="preserve">I. </w:t>
      </w:r>
      <w:r w:rsidRPr="009A7B7D">
        <w:rPr>
          <w:lang w:val="es-ES_tradnl"/>
        </w:rPr>
        <w:t xml:space="preserve">a </w:t>
      </w:r>
      <w:r w:rsidRPr="009A7B7D">
        <w:rPr>
          <w:b/>
          <w:lang w:val="es-ES_tradnl"/>
        </w:rPr>
        <w:t xml:space="preserve">VII. </w:t>
      </w:r>
      <w:r w:rsidRPr="004527C1">
        <w:rPr>
          <w:b/>
          <w:lang w:val="es-ES_tradnl"/>
        </w:rPr>
        <w:t>…</w:t>
      </w:r>
    </w:p>
    <w:p w14:paraId="72E308B9" w14:textId="77777777" w:rsidR="00147D87" w:rsidRPr="009A7B7D" w:rsidRDefault="00147D87" w:rsidP="00226B32">
      <w:pPr>
        <w:pStyle w:val="texto0"/>
        <w:spacing w:line="234" w:lineRule="exact"/>
        <w:ind w:left="1980" w:hanging="540"/>
        <w:rPr>
          <w:lang w:val="es-ES_tradnl"/>
        </w:rPr>
      </w:pPr>
      <w:r w:rsidRPr="009A7B7D">
        <w:rPr>
          <w:b/>
          <w:lang w:val="es-ES_tradnl"/>
        </w:rPr>
        <w:t>VIII.</w:t>
      </w:r>
      <w:r w:rsidRPr="009A7B7D">
        <w:rPr>
          <w:b/>
          <w:lang w:val="es-ES_tradnl"/>
        </w:rPr>
        <w:tab/>
      </w:r>
      <w:r w:rsidRPr="009A7B7D">
        <w:rPr>
          <w:lang w:val="es-ES_tradnl"/>
        </w:rPr>
        <w:t>Los relativos a los montos totales de los derechos por la utilidad compartida y de extracción de hidrocarburos, respecto del mes de julio de 2023, a más tardar el 20</w:t>
      </w:r>
      <w:r w:rsidR="0084733D">
        <w:rPr>
          <w:lang w:val="es-ES_tradnl"/>
        </w:rPr>
        <w:t xml:space="preserve"> </w:t>
      </w:r>
      <w:r w:rsidRPr="009A7B7D">
        <w:rPr>
          <w:lang w:val="es-ES_tradnl"/>
        </w:rPr>
        <w:t>de octubre de 2023.</w:t>
      </w:r>
    </w:p>
    <w:p w14:paraId="0AD28996" w14:textId="77777777" w:rsidR="00147D87" w:rsidRPr="004527C1" w:rsidRDefault="00147D87" w:rsidP="00226B32">
      <w:pPr>
        <w:pStyle w:val="texto0"/>
        <w:spacing w:line="234" w:lineRule="exact"/>
        <w:ind w:left="1980" w:hanging="540"/>
        <w:rPr>
          <w:b/>
          <w:lang w:val="es-ES_tradnl"/>
        </w:rPr>
      </w:pPr>
      <w:r w:rsidRPr="009A7B7D">
        <w:rPr>
          <w:b/>
          <w:lang w:val="es-ES_tradnl"/>
        </w:rPr>
        <w:t>IX.</w:t>
      </w:r>
      <w:r w:rsidRPr="009A7B7D">
        <w:rPr>
          <w:b/>
          <w:lang w:val="es-ES_tradnl"/>
        </w:rPr>
        <w:tab/>
      </w:r>
      <w:r w:rsidRPr="004527C1">
        <w:rPr>
          <w:b/>
          <w:lang w:val="es-ES_tradnl"/>
        </w:rPr>
        <w:t>…</w:t>
      </w:r>
    </w:p>
    <w:bookmarkEnd w:id="5"/>
    <w:p w14:paraId="49F4F404" w14:textId="77777777" w:rsidR="00147D87" w:rsidRPr="004527C1" w:rsidRDefault="00147D87" w:rsidP="00226B32">
      <w:pPr>
        <w:pStyle w:val="texto0"/>
        <w:spacing w:line="234" w:lineRule="exact"/>
        <w:ind w:left="1440" w:firstLine="0"/>
        <w:rPr>
          <w:b/>
          <w:lang w:val="es-ES_tradnl"/>
        </w:rPr>
      </w:pPr>
      <w:r w:rsidRPr="004527C1">
        <w:rPr>
          <w:b/>
          <w:lang w:val="es-ES_tradnl"/>
        </w:rPr>
        <w:t>…</w:t>
      </w:r>
    </w:p>
    <w:p w14:paraId="554223F4" w14:textId="77777777" w:rsidR="00147D87" w:rsidRDefault="00147D87" w:rsidP="00226B32">
      <w:pPr>
        <w:pStyle w:val="texto0"/>
        <w:spacing w:line="234" w:lineRule="exact"/>
        <w:ind w:left="1440" w:firstLine="0"/>
        <w:rPr>
          <w:b/>
        </w:rPr>
      </w:pPr>
      <w:r w:rsidRPr="009A7B7D">
        <w:rPr>
          <w:i/>
          <w:lang w:val="es-ES_tradnl"/>
        </w:rPr>
        <w:t>LISH 42, 44, RMF 2023 2.8.3.1., Vigésimo Cuarto Transitorio</w:t>
      </w:r>
    </w:p>
    <w:p w14:paraId="656A340F" w14:textId="77777777" w:rsidR="00147D87" w:rsidRPr="009A7B7D" w:rsidRDefault="00147D87" w:rsidP="00226B32">
      <w:pPr>
        <w:pStyle w:val="texto0"/>
        <w:spacing w:line="234" w:lineRule="exact"/>
        <w:ind w:left="1440" w:hanging="1152"/>
      </w:pPr>
      <w:r w:rsidRPr="009A7B7D">
        <w:rPr>
          <w:b/>
        </w:rPr>
        <w:t>SEGUNDO.</w:t>
      </w:r>
      <w:r w:rsidRPr="009A7B7D">
        <w:rPr>
          <w:b/>
        </w:rPr>
        <w:tab/>
      </w:r>
      <w:r w:rsidRPr="009A7B7D">
        <w:t>De conformidad con lo dispuesto en el artículo 5 de la Ley Federal de los Derechos del Contribuyente, el texto actualizado de las reglas a que se refiere el Resolutivo Primero de la presente Resolución, podrá ser consultado en el Portal del SAT.</w:t>
      </w:r>
    </w:p>
    <w:p w14:paraId="365C1D49" w14:textId="77777777" w:rsidR="00147D87" w:rsidRPr="009A7B7D" w:rsidRDefault="00147D87" w:rsidP="00226B32">
      <w:pPr>
        <w:pStyle w:val="texto0"/>
        <w:spacing w:line="234" w:lineRule="exact"/>
        <w:ind w:left="1440" w:hanging="1152"/>
      </w:pPr>
      <w:r w:rsidRPr="009A7B7D">
        <w:rPr>
          <w:b/>
        </w:rPr>
        <w:t>TERCERO.</w:t>
      </w:r>
      <w:r w:rsidRPr="009A7B7D">
        <w:rPr>
          <w:b/>
        </w:rPr>
        <w:tab/>
      </w:r>
      <w:r w:rsidRPr="009A7B7D">
        <w:t>Se dan a conocer las modificaciones de los siguientes Anexos:</w:t>
      </w:r>
    </w:p>
    <w:p w14:paraId="06DC3A56" w14:textId="77777777" w:rsidR="00147D87" w:rsidRPr="009A7B7D" w:rsidRDefault="00147D87" w:rsidP="00226B32">
      <w:pPr>
        <w:pStyle w:val="texto0"/>
        <w:spacing w:line="234" w:lineRule="exact"/>
        <w:ind w:left="1980" w:hanging="540"/>
      </w:pPr>
      <w:r w:rsidRPr="009A7B7D">
        <w:rPr>
          <w:b/>
        </w:rPr>
        <w:t>I.</w:t>
      </w:r>
      <w:r w:rsidRPr="009A7B7D">
        <w:tab/>
        <w:t>Cuarta Modificación al Anexo 3 de la RMF para 2022.</w:t>
      </w:r>
    </w:p>
    <w:p w14:paraId="49B6AD4A" w14:textId="77777777" w:rsidR="00147D87" w:rsidRPr="009A7B7D" w:rsidRDefault="00147D87" w:rsidP="00226B32">
      <w:pPr>
        <w:pStyle w:val="texto0"/>
        <w:spacing w:line="234" w:lineRule="exact"/>
        <w:ind w:left="1980" w:hanging="540"/>
      </w:pPr>
      <w:r w:rsidRPr="009A7B7D">
        <w:rPr>
          <w:b/>
        </w:rPr>
        <w:t>II.</w:t>
      </w:r>
      <w:r w:rsidRPr="009A7B7D">
        <w:tab/>
        <w:t>Quinta Modificación al Anexo 15 de la RMF para 2022.</w:t>
      </w:r>
    </w:p>
    <w:p w14:paraId="0022C4A2" w14:textId="77777777" w:rsidR="00147D87" w:rsidRDefault="00147D87" w:rsidP="00226B32">
      <w:pPr>
        <w:pStyle w:val="texto0"/>
        <w:spacing w:line="234" w:lineRule="exact"/>
        <w:ind w:left="1980" w:hanging="540"/>
      </w:pPr>
      <w:r w:rsidRPr="009A7B7D">
        <w:rPr>
          <w:b/>
        </w:rPr>
        <w:t>III.</w:t>
      </w:r>
      <w:r w:rsidRPr="009A7B7D">
        <w:tab/>
        <w:t>Tercera Modificación a los Anexos 1-A, 14 y 23 de la RMF para 2023.</w:t>
      </w:r>
    </w:p>
    <w:p w14:paraId="50DE18AC" w14:textId="77777777" w:rsidR="00147D87" w:rsidRPr="009A7B7D" w:rsidRDefault="00147D87" w:rsidP="00226B32">
      <w:pPr>
        <w:pStyle w:val="texto0"/>
        <w:spacing w:line="234" w:lineRule="exact"/>
        <w:ind w:firstLine="0"/>
        <w:jc w:val="center"/>
      </w:pPr>
      <w:r w:rsidRPr="004527C1">
        <w:rPr>
          <w:b/>
        </w:rPr>
        <w:t>Transitorios</w:t>
      </w:r>
    </w:p>
    <w:p w14:paraId="73656390" w14:textId="77777777" w:rsidR="00147D87" w:rsidRPr="009A7B7D" w:rsidRDefault="00147D87" w:rsidP="00226B32">
      <w:pPr>
        <w:pStyle w:val="texto0"/>
        <w:spacing w:line="234" w:lineRule="exact"/>
        <w:ind w:left="1440" w:hanging="1152"/>
      </w:pPr>
      <w:r w:rsidRPr="009A7B7D">
        <w:rPr>
          <w:b/>
          <w:color w:val="000000"/>
        </w:rPr>
        <w:t>Primero.</w:t>
      </w:r>
      <w:r w:rsidRPr="009A7B7D">
        <w:rPr>
          <w:b/>
          <w:color w:val="000000"/>
        </w:rPr>
        <w:tab/>
      </w:r>
      <w:r w:rsidRPr="009A7B7D">
        <w:rPr>
          <w:color w:val="000000"/>
        </w:rPr>
        <w:t>La presente Resolución entrará en vigor el día siguiente al de su publicación en el DOF. Por lo que se refiere a las disposiciones dadas a conocer de manera anticipada en el Portal del SAT, su contenido surtirá sus efectos en términos de la regla 1.8., tercer párrafo.</w:t>
      </w:r>
    </w:p>
    <w:p w14:paraId="13A974D1" w14:textId="77777777" w:rsidR="00147D87" w:rsidRDefault="00147D87" w:rsidP="00226B32">
      <w:pPr>
        <w:pStyle w:val="texto0"/>
        <w:spacing w:line="234" w:lineRule="exact"/>
        <w:ind w:left="1440" w:hanging="1152"/>
      </w:pPr>
      <w:bookmarkStart w:id="6" w:name="N_Hlk143860018"/>
      <w:r w:rsidRPr="009A7B7D">
        <w:rPr>
          <w:b/>
          <w:color w:val="000000"/>
        </w:rPr>
        <w:t>Segundo.</w:t>
      </w:r>
      <w:r w:rsidRPr="009A7B7D">
        <w:rPr>
          <w:color w:val="000000"/>
        </w:rPr>
        <w:tab/>
      </w:r>
      <w:bookmarkEnd w:id="6"/>
      <w:r w:rsidRPr="009A7B7D">
        <w:t>Para los efectos del artículo 36 Bis del CFF y la regla 3.10.4., tercer párrafo, las organizaciones civiles y fideicomisos autorizados para recibir donativos deducibles, a quienes se les hubiera impuesto una multa por la infracción señalada en el artículo 81, primer párrafo, fracción XLIV del CFF, podrán mantener la vigencia de la autorización a que se refiere la citada regla para el ejercicio fiscal de 2024, siempre que, a más tardar el 30 de septiembre de 2023, hayan cumplido con lo siguiente:</w:t>
      </w:r>
    </w:p>
    <w:p w14:paraId="66F31FCF" w14:textId="77777777" w:rsidR="00147D87" w:rsidRPr="009A7B7D" w:rsidRDefault="00147D87" w:rsidP="00226B32">
      <w:pPr>
        <w:pStyle w:val="texto0"/>
        <w:spacing w:line="234" w:lineRule="exact"/>
        <w:ind w:left="1980" w:hanging="540"/>
      </w:pPr>
      <w:r w:rsidRPr="009A7B7D">
        <w:rPr>
          <w:b/>
        </w:rPr>
        <w:t>I.</w:t>
      </w:r>
      <w:r w:rsidRPr="009A7B7D">
        <w:tab/>
        <w:t>Presenten las declaraciones informativas a que se refiere la regla 3.10.4., tercer párrafo, fracción I, incisos a) y b), correspondientes al ejercicio fiscal de 2022.</w:t>
      </w:r>
    </w:p>
    <w:p w14:paraId="181836A5" w14:textId="77777777" w:rsidR="00147D87" w:rsidRPr="009A7B7D" w:rsidRDefault="00147D87" w:rsidP="00226B32">
      <w:pPr>
        <w:pStyle w:val="texto0"/>
        <w:spacing w:line="234" w:lineRule="exact"/>
        <w:ind w:left="1980" w:hanging="540"/>
      </w:pPr>
      <w:r w:rsidRPr="009A7B7D">
        <w:rPr>
          <w:b/>
        </w:rPr>
        <w:t>II.</w:t>
      </w:r>
      <w:r w:rsidRPr="009A7B7D">
        <w:tab/>
        <w:t>Hayan pagado la multa señalada en el primer párrafo de la presente disposición.</w:t>
      </w:r>
    </w:p>
    <w:p w14:paraId="73F527BD" w14:textId="77777777" w:rsidR="00147D87" w:rsidRDefault="00147D87" w:rsidP="00226B32">
      <w:pPr>
        <w:pStyle w:val="texto0"/>
        <w:spacing w:line="234" w:lineRule="exact"/>
        <w:ind w:left="1980" w:hanging="540"/>
      </w:pPr>
      <w:r w:rsidRPr="009A7B7D">
        <w:rPr>
          <w:b/>
        </w:rPr>
        <w:t>III.</w:t>
      </w:r>
      <w:r w:rsidRPr="009A7B7D">
        <w:tab/>
        <w:t>No hubieran interpuesto algún medio de defensa en contra de la multa referida.</w:t>
      </w:r>
    </w:p>
    <w:p w14:paraId="1F0268A9" w14:textId="77777777" w:rsidR="00147D87" w:rsidRPr="009A7B7D" w:rsidRDefault="00147D87" w:rsidP="00226B32">
      <w:pPr>
        <w:pStyle w:val="texto0"/>
        <w:spacing w:line="234" w:lineRule="exact"/>
        <w:ind w:left="1440" w:firstLine="0"/>
      </w:pPr>
      <w:r w:rsidRPr="009A7B7D">
        <w:t>En caso de que, con posterioridad al 30 de septiembre de 2023, se interponga un medio de defensa en contra de la multa a que se refiere el primer párrafo de la presente disposición, no procederá la renovación de la vigencia de la autorización en términos de la regla 3.10.4., tercer párrafo, por lo que se estará a lo dispuesto en la regla 3.10.12.</w:t>
      </w:r>
    </w:p>
    <w:p w14:paraId="3A75DD8F" w14:textId="77777777" w:rsidR="00147D87" w:rsidRDefault="00147D87" w:rsidP="00226B32">
      <w:pPr>
        <w:pStyle w:val="texto0"/>
        <w:spacing w:line="234" w:lineRule="exact"/>
        <w:ind w:left="1440" w:hanging="1152"/>
      </w:pPr>
      <w:bookmarkStart w:id="7" w:name="N_Hlk146708612"/>
      <w:r w:rsidRPr="009A7B7D">
        <w:rPr>
          <w:b/>
          <w:color w:val="000000"/>
        </w:rPr>
        <w:t>Tercero.</w:t>
      </w:r>
      <w:r w:rsidRPr="009A7B7D">
        <w:rPr>
          <w:b/>
          <w:color w:val="000000"/>
        </w:rPr>
        <w:tab/>
      </w:r>
      <w:r w:rsidRPr="009A7B7D">
        <w:rPr>
          <w:color w:val="000000"/>
        </w:rPr>
        <w:t xml:space="preserve">Para los efectos de la regla 5.1.7., en relación con las fichas </w:t>
      </w:r>
      <w:r w:rsidRPr="009A7B7D">
        <w:t>de trámite 4/IEPS “Solicitud de ministración de marbetes físicos y precintos de bebidas alcohólicas nacionales” y 5/IEPS “Solicitud de ministración de marbetes físicos y precintos de bebidas alcohólicas nacionales como comercializador / maquilador”, contenidas en la Tercera Modificación al Anexo 1-A de la RMF para 2023,</w:t>
      </w:r>
      <w:r w:rsidRPr="009A7B7D">
        <w:rPr>
          <w:color w:val="000000"/>
        </w:rPr>
        <w:t xml:space="preserve"> l</w:t>
      </w:r>
      <w:r w:rsidRPr="009A7B7D">
        <w:t>os contribuyentes que a partir de la entrada en vigor de las citadas fichas de trámite, cuenten con marbetes físicos y precintos de bebidas alcohólicas nacionales, podrán adherirlos y reportarlos en términos de las reglas 5.2.24. y 5.2.25., según corresponda, hasta agotarlos.</w:t>
      </w:r>
    </w:p>
    <w:bookmarkEnd w:id="7"/>
    <w:p w14:paraId="56C17956" w14:textId="77777777" w:rsidR="00147D87" w:rsidRDefault="00147D87" w:rsidP="00226B32">
      <w:pPr>
        <w:pStyle w:val="texto0"/>
        <w:spacing w:line="234" w:lineRule="exact"/>
        <w:rPr>
          <w:color w:val="000000"/>
        </w:rPr>
      </w:pPr>
      <w:r w:rsidRPr="009A7B7D">
        <w:rPr>
          <w:color w:val="000000"/>
        </w:rPr>
        <w:t>Atentamente.</w:t>
      </w:r>
    </w:p>
    <w:p w14:paraId="5758AF88" w14:textId="77777777" w:rsidR="00147D87" w:rsidRDefault="00147D87" w:rsidP="00226B32">
      <w:pPr>
        <w:pStyle w:val="texto0"/>
        <w:spacing w:line="234" w:lineRule="exact"/>
        <w:rPr>
          <w:color w:val="000000"/>
        </w:rPr>
      </w:pPr>
      <w:r w:rsidRPr="009A7B7D">
        <w:rPr>
          <w:color w:val="000000"/>
        </w:rPr>
        <w:t>Ciudad de México, a 10 de octubre de 2023.</w:t>
      </w:r>
      <w:r w:rsidR="004527C1">
        <w:rPr>
          <w:color w:val="000000"/>
        </w:rPr>
        <w:t xml:space="preserve">- </w:t>
      </w:r>
      <w:r w:rsidRPr="009A7B7D">
        <w:t>En suplencia por ausencia del Jefe del Servicio de Administración Tributaria, con fundamento en el artículo 4, primer párrafo del Reglamento Interior del Servicio de Administración Tributaria, firma el</w:t>
      </w:r>
      <w:r w:rsidR="004527C1">
        <w:t xml:space="preserve"> Administrador General Jurídico, </w:t>
      </w:r>
      <w:r w:rsidRPr="009A7B7D">
        <w:rPr>
          <w:color w:val="000000"/>
        </w:rPr>
        <w:t xml:space="preserve">Lic. </w:t>
      </w:r>
      <w:r w:rsidRPr="004527C1">
        <w:rPr>
          <w:b/>
          <w:color w:val="000000"/>
        </w:rPr>
        <w:t>Ricardo Carrasco Varona</w:t>
      </w:r>
      <w:r w:rsidR="004527C1">
        <w:rPr>
          <w:color w:val="000000"/>
        </w:rPr>
        <w:t>.- Rúbrica.</w:t>
      </w:r>
    </w:p>
    <w:p w14:paraId="0052E5B4" w14:textId="77777777" w:rsidR="00147D87" w:rsidRDefault="00147D87" w:rsidP="00883AB9">
      <w:pPr>
        <w:pStyle w:val="ANOTACION"/>
      </w:pPr>
      <w:r w:rsidRPr="009A7B7D">
        <w:lastRenderedPageBreak/>
        <w:t>CUARTA MODIFICACIÓN AL ANEXO 3 DE LA RESOLUCIÓN MISCELÁNEA FISCAL PARA 2022.</w:t>
      </w:r>
    </w:p>
    <w:p w14:paraId="0742D015" w14:textId="77777777" w:rsidR="00147D87" w:rsidRDefault="00147D87" w:rsidP="00883AB9">
      <w:pPr>
        <w:pStyle w:val="texto0"/>
        <w:ind w:firstLine="90"/>
        <w:jc w:val="center"/>
        <w:rPr>
          <w:b/>
        </w:rPr>
      </w:pPr>
      <w:r w:rsidRPr="009A7B7D">
        <w:rPr>
          <w:b/>
        </w:rPr>
        <w:t>CRITERIOS NO VINCULATIVOS DE LAS DISPOSICIONES FISCALES</w:t>
      </w:r>
    </w:p>
    <w:p w14:paraId="2935771F" w14:textId="77777777" w:rsidR="00147D87" w:rsidRDefault="00147D87" w:rsidP="00883AB9">
      <w:pPr>
        <w:pStyle w:val="texto0"/>
        <w:spacing w:after="50" w:line="208" w:lineRule="exact"/>
      </w:pPr>
      <w:r w:rsidRPr="009A7B7D">
        <w:rPr>
          <w:b/>
        </w:rPr>
        <w:t>PRIMERO.</w:t>
      </w:r>
    </w:p>
    <w:p w14:paraId="032798AD" w14:textId="77777777" w:rsidR="00883AB9" w:rsidRDefault="00883AB9" w:rsidP="00883AB9">
      <w:pPr>
        <w:pStyle w:val="texto0"/>
        <w:tabs>
          <w:tab w:val="right" w:leader="dot" w:pos="8730"/>
        </w:tabs>
        <w:spacing w:after="50" w:line="208" w:lineRule="exact"/>
      </w:pPr>
      <w:r>
        <w:tab/>
      </w:r>
    </w:p>
    <w:p w14:paraId="2118E6D3" w14:textId="77777777" w:rsidR="00147D87" w:rsidRPr="009A7B7D" w:rsidRDefault="00147D87" w:rsidP="00883AB9">
      <w:pPr>
        <w:pStyle w:val="texto0"/>
        <w:spacing w:after="50" w:line="208" w:lineRule="exact"/>
        <w:ind w:firstLine="0"/>
        <w:jc w:val="center"/>
        <w:rPr>
          <w:b/>
          <w:noProof/>
        </w:rPr>
      </w:pPr>
      <w:r w:rsidRPr="009A7B7D">
        <w:rPr>
          <w:b/>
          <w:noProof/>
        </w:rPr>
        <w:t>Contenido</w:t>
      </w:r>
    </w:p>
    <w:p w14:paraId="535BF0CD" w14:textId="77777777" w:rsidR="00147D87" w:rsidRDefault="00147D87" w:rsidP="00883AB9">
      <w:pPr>
        <w:pStyle w:val="texto0"/>
        <w:spacing w:after="50" w:line="208" w:lineRule="exact"/>
        <w:ind w:left="540" w:firstLine="0"/>
        <w:rPr>
          <w:b/>
        </w:rPr>
      </w:pPr>
      <w:r w:rsidRPr="009A7B7D">
        <w:rPr>
          <w:b/>
        </w:rPr>
        <w:t>APARTADOS:</w:t>
      </w:r>
    </w:p>
    <w:p w14:paraId="0931CDE4" w14:textId="77777777" w:rsidR="00147D87" w:rsidRPr="009A7B7D" w:rsidRDefault="00147D87" w:rsidP="00883AB9">
      <w:pPr>
        <w:pStyle w:val="texto0"/>
        <w:spacing w:after="50" w:line="208" w:lineRule="exact"/>
        <w:ind w:left="540" w:firstLine="0"/>
        <w:jc w:val="center"/>
        <w:rPr>
          <w:b/>
        </w:rPr>
      </w:pPr>
      <w:r w:rsidRPr="009A7B7D">
        <w:rPr>
          <w:b/>
        </w:rPr>
        <w:t>A. Criterios del CFF</w:t>
      </w:r>
    </w:p>
    <w:p w14:paraId="56B464CA" w14:textId="77777777" w:rsidR="00147D87" w:rsidRPr="009A7B7D" w:rsidRDefault="00147D87" w:rsidP="00883AB9">
      <w:pPr>
        <w:pStyle w:val="texto0"/>
        <w:spacing w:after="50" w:line="208" w:lineRule="exact"/>
        <w:ind w:left="1800" w:hanging="1260"/>
      </w:pPr>
      <w:r w:rsidRPr="009A7B7D">
        <w:rPr>
          <w:b/>
        </w:rPr>
        <w:t>1/CFF/NV</w:t>
      </w:r>
      <w:r w:rsidRPr="009A7B7D">
        <w:rPr>
          <w:b/>
        </w:rPr>
        <w:tab/>
      </w:r>
      <w:r w:rsidRPr="009A7B7D">
        <w:t>Entrega o puesta a disposición del CFDI. No se cumple con la obligación cuando el emisor únicamente remite a una página de Internet.</w:t>
      </w:r>
    </w:p>
    <w:p w14:paraId="618B85BA" w14:textId="77777777" w:rsidR="00883AB9" w:rsidRDefault="00147D87" w:rsidP="00883AB9">
      <w:pPr>
        <w:pStyle w:val="texto0"/>
        <w:tabs>
          <w:tab w:val="right" w:leader="dot" w:pos="8730"/>
        </w:tabs>
        <w:spacing w:after="50" w:line="208" w:lineRule="exact"/>
        <w:ind w:left="1800" w:hanging="1260"/>
        <w:rPr>
          <w:b/>
          <w:lang w:val="en-US"/>
        </w:rPr>
      </w:pPr>
      <w:r w:rsidRPr="009A7B7D">
        <w:rPr>
          <w:b/>
          <w:lang w:val="en-US"/>
        </w:rPr>
        <w:t>2/CFF/NV a</w:t>
      </w:r>
      <w:r w:rsidR="00883AB9">
        <w:rPr>
          <w:b/>
          <w:lang w:val="en-US"/>
        </w:rPr>
        <w:tab/>
      </w:r>
      <w:r w:rsidR="00883AB9" w:rsidRPr="00883AB9">
        <w:rPr>
          <w:lang w:val="en-US"/>
        </w:rPr>
        <w:tab/>
      </w:r>
    </w:p>
    <w:p w14:paraId="40962370" w14:textId="77777777" w:rsidR="00883AB9" w:rsidRDefault="00147D87" w:rsidP="00883AB9">
      <w:pPr>
        <w:pStyle w:val="texto0"/>
        <w:tabs>
          <w:tab w:val="right" w:leader="dot" w:pos="8730"/>
        </w:tabs>
        <w:spacing w:after="50" w:line="208" w:lineRule="exact"/>
        <w:ind w:left="1800" w:hanging="1260"/>
        <w:rPr>
          <w:b/>
          <w:lang w:val="en-US"/>
        </w:rPr>
      </w:pPr>
      <w:r w:rsidRPr="009A7B7D">
        <w:rPr>
          <w:b/>
          <w:lang w:val="en-US"/>
        </w:rPr>
        <w:t>3/CFF/NV</w:t>
      </w:r>
      <w:r w:rsidR="00883AB9">
        <w:rPr>
          <w:b/>
          <w:lang w:val="en-US"/>
        </w:rPr>
        <w:tab/>
      </w:r>
      <w:r w:rsidR="00883AB9" w:rsidRPr="00883AB9">
        <w:rPr>
          <w:lang w:val="en-US"/>
        </w:rPr>
        <w:tab/>
      </w:r>
    </w:p>
    <w:p w14:paraId="5ADA449F" w14:textId="77777777" w:rsidR="00883AB9" w:rsidRDefault="00883AB9" w:rsidP="00883AB9">
      <w:pPr>
        <w:pStyle w:val="texto0"/>
        <w:tabs>
          <w:tab w:val="left" w:leader="dot" w:pos="8730"/>
        </w:tabs>
        <w:spacing w:after="50" w:line="208" w:lineRule="exact"/>
        <w:ind w:left="547" w:firstLine="0"/>
        <w:rPr>
          <w:lang w:val="en-US"/>
        </w:rPr>
      </w:pPr>
      <w:r>
        <w:rPr>
          <w:lang w:val="en-US"/>
        </w:rPr>
        <w:tab/>
      </w:r>
    </w:p>
    <w:p w14:paraId="028765CD" w14:textId="77777777" w:rsidR="00147D87" w:rsidRDefault="00147D87" w:rsidP="00883AB9">
      <w:pPr>
        <w:pStyle w:val="texto0"/>
        <w:spacing w:after="50" w:line="208" w:lineRule="exact"/>
        <w:ind w:left="540" w:firstLine="0"/>
        <w:jc w:val="center"/>
        <w:rPr>
          <w:b/>
        </w:rPr>
      </w:pPr>
      <w:r w:rsidRPr="009A7B7D">
        <w:rPr>
          <w:b/>
        </w:rPr>
        <w:t>A. Criterios del CFF</w:t>
      </w:r>
    </w:p>
    <w:p w14:paraId="1F591B61" w14:textId="77777777" w:rsidR="00147D87" w:rsidRPr="009A7B7D" w:rsidRDefault="00147D87" w:rsidP="00883AB9">
      <w:pPr>
        <w:pStyle w:val="texto0"/>
        <w:spacing w:after="50" w:line="208" w:lineRule="exact"/>
        <w:ind w:left="1800" w:hanging="1260"/>
        <w:rPr>
          <w:b/>
        </w:rPr>
      </w:pPr>
      <w:r w:rsidRPr="009A7B7D">
        <w:rPr>
          <w:b/>
        </w:rPr>
        <w:t>1/CFF/NV</w:t>
      </w:r>
      <w:r w:rsidRPr="009A7B7D">
        <w:rPr>
          <w:b/>
        </w:rPr>
        <w:tab/>
        <w:t>Entrega o puesta a disposición del CFDI. No se cumple con la obligación cuando el emisor únicamente remite a una página de Internet.</w:t>
      </w:r>
    </w:p>
    <w:p w14:paraId="387C0AAB" w14:textId="77777777" w:rsidR="00147D87" w:rsidRPr="009A7B7D" w:rsidRDefault="00883AB9" w:rsidP="00883AB9">
      <w:pPr>
        <w:pStyle w:val="texto0"/>
        <w:spacing w:after="50" w:line="208" w:lineRule="exact"/>
        <w:ind w:left="1800" w:hanging="1260"/>
      </w:pPr>
      <w:r>
        <w:tab/>
      </w:r>
      <w:r w:rsidR="00147D87" w:rsidRPr="009A7B7D">
        <w:t>El artículo 29, primer párrafo del CFF establece la obligación para los contribuyentes de expedir CFDIs por Internet por los actos o actividades que realicen, por los ingresos que se perciban o por las retenciones de contribuciones que efectúen, para lo cual de conformidad con su fracción IV, antes de su expedición deberán remitirlos al SAT o al proveedor de certificación de comprobantes fiscales digitales por Internet con el objeto de que se certifique, es decir, se valide el cumplimiento de los requisitos establecidos en el artículo 29-A del mismo Código, se le asigne un folio y se le incorpore el sello digital del SAT.</w:t>
      </w:r>
    </w:p>
    <w:p w14:paraId="09B215F8" w14:textId="77777777" w:rsidR="00147D87" w:rsidRPr="009A7B7D" w:rsidRDefault="00147D87" w:rsidP="00883AB9">
      <w:pPr>
        <w:pStyle w:val="texto0"/>
        <w:spacing w:after="50" w:line="208" w:lineRule="exact"/>
        <w:ind w:left="1800" w:firstLine="0"/>
      </w:pPr>
      <w:r w:rsidRPr="009A7B7D">
        <w:t>El artículo 29, fracción V del citado ordenamiento prevé que una vez que al CFDI se le haya incorporado el sello digital a que se refiere el párrafo anterior, los contribuyentes deberán entregar o poner a disposición de sus clientes el archivo electrónico del CFDI y, cuando les sea solicitada por el cliente, su representación impresa, por lo que se considera que el contribuyente que solicita el comprobante fiscal solo debe proporcionar su clave en el RFC, nombre o razón social, código postal del domicilio fiscal y uso fiscal que le dará al comprobante fiscal, sin necesidad de exhibir la Cédula de Identificación Fiscal o Constancia de Situación Fiscal.</w:t>
      </w:r>
    </w:p>
    <w:p w14:paraId="10018863" w14:textId="77777777" w:rsidR="00147D87" w:rsidRPr="009A7B7D" w:rsidRDefault="00147D87" w:rsidP="00883AB9">
      <w:pPr>
        <w:pStyle w:val="texto0"/>
        <w:spacing w:after="50" w:line="208" w:lineRule="exact"/>
        <w:ind w:left="1800" w:firstLine="0"/>
      </w:pPr>
      <w:r w:rsidRPr="009A7B7D">
        <w:t>Por lo anterior, se considera que realizan una práctica fiscal indebida:</w:t>
      </w:r>
    </w:p>
    <w:p w14:paraId="25DA07C5" w14:textId="77777777" w:rsidR="00147D87" w:rsidRPr="009A7B7D" w:rsidRDefault="00147D87" w:rsidP="00883AB9">
      <w:pPr>
        <w:pStyle w:val="texto0"/>
        <w:spacing w:after="50" w:line="208" w:lineRule="exact"/>
        <w:ind w:left="1800" w:firstLine="0"/>
      </w:pPr>
      <w:r w:rsidRPr="009A7B7D">
        <w:rPr>
          <w:b/>
        </w:rPr>
        <w:t>I.</w:t>
      </w:r>
      <w:r w:rsidR="00883AB9">
        <w:rPr>
          <w:b/>
        </w:rPr>
        <w:t xml:space="preserve"> </w:t>
      </w:r>
      <w:r w:rsidRPr="009A7B7D">
        <w:t>Los contribuyentes que no cumplan, en el mismo acto y lugar, con su obligación de expedir el CFDI y tampoco con su remisión al SAT o al proveedor de certificación de CFDI con el objeto de que se certifique.</w:t>
      </w:r>
    </w:p>
    <w:p w14:paraId="3868E72F" w14:textId="77777777" w:rsidR="00147D87" w:rsidRPr="009A7B7D" w:rsidRDefault="00147D87" w:rsidP="00883AB9">
      <w:pPr>
        <w:pStyle w:val="texto0"/>
        <w:spacing w:after="50" w:line="208" w:lineRule="exact"/>
        <w:ind w:left="1800" w:firstLine="0"/>
      </w:pPr>
      <w:r w:rsidRPr="009A7B7D">
        <w:rPr>
          <w:b/>
        </w:rPr>
        <w:t xml:space="preserve">II. </w:t>
      </w:r>
      <w:r w:rsidRPr="009A7B7D">
        <w:t>Los contribuyentes que no permitan, en el mismo acto y lugar que el cliente proporcione sus datos para la generación del CFDI.</w:t>
      </w:r>
    </w:p>
    <w:p w14:paraId="2B79CF04" w14:textId="77777777" w:rsidR="00147D87" w:rsidRPr="009A7B7D" w:rsidRDefault="00147D87" w:rsidP="00883AB9">
      <w:pPr>
        <w:pStyle w:val="texto0"/>
        <w:spacing w:after="50" w:line="208" w:lineRule="exact"/>
        <w:ind w:left="1800" w:firstLine="0"/>
      </w:pPr>
      <w:r w:rsidRPr="009A7B7D">
        <w:rPr>
          <w:b/>
        </w:rPr>
        <w:t xml:space="preserve">III. </w:t>
      </w:r>
      <w:r w:rsidRPr="009A7B7D">
        <w:t>Los contribuyentes que, en sus establecimientos, sucursales o puntos de venta, únicamente pongan a disposición del cliente un medio por el cual invitan al cliente para que este por su cuenta proporcione sus datos y, por ende, trasladen al cliente la obligación de generar el CFDI.</w:t>
      </w:r>
    </w:p>
    <w:p w14:paraId="7B07973A" w14:textId="77777777" w:rsidR="00147D87" w:rsidRPr="009A7B7D" w:rsidRDefault="00147D87" w:rsidP="00883AB9">
      <w:pPr>
        <w:pStyle w:val="texto0"/>
        <w:spacing w:after="50" w:line="208" w:lineRule="exact"/>
        <w:ind w:left="1800" w:firstLine="0"/>
        <w:rPr>
          <w:b/>
        </w:rPr>
      </w:pPr>
      <w:r w:rsidRPr="009A7B7D">
        <w:rPr>
          <w:b/>
        </w:rPr>
        <w:t xml:space="preserve">IV. </w:t>
      </w:r>
      <w:r w:rsidRPr="009A7B7D">
        <w:t>Los contribuyentes que condicionen la expedición de CFDI a la exhibición de la Cédula de Identificación Fiscal o Constancia de Situación Fiscal.</w:t>
      </w:r>
    </w:p>
    <w:p w14:paraId="6D4196E9" w14:textId="77777777" w:rsidR="00147D87" w:rsidRPr="009A7B7D" w:rsidRDefault="00147D87" w:rsidP="00883AB9">
      <w:pPr>
        <w:pStyle w:val="texto0"/>
        <w:spacing w:after="50" w:line="208" w:lineRule="exact"/>
        <w:ind w:left="1800" w:firstLine="0"/>
      </w:pPr>
      <w:r w:rsidRPr="009A7B7D">
        <w:rPr>
          <w:b/>
        </w:rPr>
        <w:t xml:space="preserve">V. </w:t>
      </w:r>
      <w:r w:rsidRPr="009A7B7D">
        <w:t>Quien asesore, aconseje, preste servicios o participe en la realización o la implementación de cualquiera de las prácticas anteriores.</w:t>
      </w:r>
    </w:p>
    <w:tbl>
      <w:tblPr>
        <w:tblW w:w="7020" w:type="dxa"/>
        <w:tblInd w:w="1872" w:type="dxa"/>
        <w:tblLayout w:type="fixed"/>
        <w:tblCellMar>
          <w:left w:w="72" w:type="dxa"/>
          <w:right w:w="72" w:type="dxa"/>
        </w:tblCellMar>
        <w:tblLook w:val="0000" w:firstRow="0" w:lastRow="0" w:firstColumn="0" w:lastColumn="0" w:noHBand="0" w:noVBand="0"/>
      </w:tblPr>
      <w:tblGrid>
        <w:gridCol w:w="2340"/>
        <w:gridCol w:w="4680"/>
      </w:tblGrid>
      <w:tr w:rsidR="00147D87" w:rsidRPr="00883AB9" w14:paraId="565B6F85" w14:textId="77777777">
        <w:tblPrEx>
          <w:tblCellMar>
            <w:top w:w="0" w:type="dxa"/>
            <w:bottom w:w="0" w:type="dxa"/>
          </w:tblCellMar>
        </w:tblPrEx>
        <w:trPr>
          <w:trHeight w:val="20"/>
        </w:trPr>
        <w:tc>
          <w:tcPr>
            <w:tcW w:w="2340" w:type="dxa"/>
            <w:tcBorders>
              <w:top w:val="single" w:sz="6" w:space="0" w:color="auto"/>
              <w:left w:val="single" w:sz="6" w:space="0" w:color="auto"/>
              <w:bottom w:val="single" w:sz="6" w:space="0" w:color="auto"/>
              <w:right w:val="single" w:sz="6" w:space="0" w:color="auto"/>
            </w:tcBorders>
            <w:shd w:val="clear" w:color="auto" w:fill="C0C0C0"/>
            <w:noWrap/>
          </w:tcPr>
          <w:p w14:paraId="084758D1" w14:textId="77777777" w:rsidR="00147D87" w:rsidRPr="00883AB9" w:rsidRDefault="00147D87" w:rsidP="00E25A48">
            <w:pPr>
              <w:pStyle w:val="texto0"/>
              <w:spacing w:after="50" w:line="208" w:lineRule="exact"/>
              <w:ind w:firstLine="0"/>
              <w:jc w:val="center"/>
              <w:rPr>
                <w:b/>
                <w:sz w:val="16"/>
                <w:szCs w:val="16"/>
              </w:rPr>
            </w:pPr>
            <w:r w:rsidRPr="00883AB9">
              <w:rPr>
                <w:b/>
                <w:sz w:val="16"/>
                <w:szCs w:val="16"/>
              </w:rPr>
              <w:t>Origen</w:t>
            </w:r>
          </w:p>
        </w:tc>
        <w:tc>
          <w:tcPr>
            <w:tcW w:w="4680" w:type="dxa"/>
            <w:tcBorders>
              <w:top w:val="single" w:sz="6" w:space="0" w:color="auto"/>
              <w:left w:val="single" w:sz="6" w:space="0" w:color="auto"/>
              <w:bottom w:val="single" w:sz="6" w:space="0" w:color="auto"/>
              <w:right w:val="single" w:sz="6" w:space="0" w:color="auto"/>
            </w:tcBorders>
            <w:shd w:val="clear" w:color="auto" w:fill="C0C0C0"/>
          </w:tcPr>
          <w:p w14:paraId="3426FA41" w14:textId="77777777" w:rsidR="00147D87" w:rsidRPr="00883AB9" w:rsidRDefault="00147D87" w:rsidP="00E25A48">
            <w:pPr>
              <w:pStyle w:val="texto0"/>
              <w:spacing w:after="50" w:line="208" w:lineRule="exact"/>
              <w:ind w:firstLine="0"/>
              <w:jc w:val="center"/>
              <w:rPr>
                <w:b/>
                <w:sz w:val="16"/>
                <w:szCs w:val="16"/>
              </w:rPr>
            </w:pPr>
            <w:r w:rsidRPr="00883AB9">
              <w:rPr>
                <w:b/>
                <w:sz w:val="16"/>
                <w:szCs w:val="16"/>
              </w:rPr>
              <w:t>Primer antecedente</w:t>
            </w:r>
          </w:p>
        </w:tc>
      </w:tr>
      <w:tr w:rsidR="00147D87" w:rsidRPr="00883AB9" w14:paraId="561A4B4A" w14:textId="77777777">
        <w:tblPrEx>
          <w:tblCellMar>
            <w:top w:w="0" w:type="dxa"/>
            <w:bottom w:w="0" w:type="dxa"/>
          </w:tblCellMar>
        </w:tblPrEx>
        <w:trPr>
          <w:trHeight w:val="20"/>
        </w:trPr>
        <w:tc>
          <w:tcPr>
            <w:tcW w:w="2340" w:type="dxa"/>
            <w:tcBorders>
              <w:top w:val="single" w:sz="6" w:space="0" w:color="auto"/>
              <w:left w:val="single" w:sz="6" w:space="0" w:color="auto"/>
              <w:bottom w:val="single" w:sz="6" w:space="0" w:color="auto"/>
              <w:right w:val="single" w:sz="6" w:space="0" w:color="auto"/>
            </w:tcBorders>
          </w:tcPr>
          <w:p w14:paraId="0CD22E57" w14:textId="77777777" w:rsidR="00147D87" w:rsidRPr="00883AB9" w:rsidRDefault="00147D87" w:rsidP="00883AB9">
            <w:pPr>
              <w:pStyle w:val="texto0"/>
              <w:spacing w:after="50" w:line="208" w:lineRule="exact"/>
              <w:ind w:firstLine="0"/>
              <w:rPr>
                <w:sz w:val="16"/>
                <w:szCs w:val="16"/>
              </w:rPr>
            </w:pPr>
            <w:r w:rsidRPr="00883AB9">
              <w:rPr>
                <w:sz w:val="16"/>
                <w:szCs w:val="16"/>
              </w:rPr>
              <w:t>Quinta Resolución de Modificaciones a la RMF para 2014</w:t>
            </w:r>
          </w:p>
        </w:tc>
        <w:tc>
          <w:tcPr>
            <w:tcW w:w="4680" w:type="dxa"/>
            <w:tcBorders>
              <w:top w:val="single" w:sz="6" w:space="0" w:color="auto"/>
              <w:left w:val="single" w:sz="6" w:space="0" w:color="auto"/>
              <w:bottom w:val="single" w:sz="6" w:space="0" w:color="auto"/>
              <w:right w:val="single" w:sz="6" w:space="0" w:color="auto"/>
            </w:tcBorders>
          </w:tcPr>
          <w:p w14:paraId="76487E18" w14:textId="77777777" w:rsidR="00147D87" w:rsidRPr="00883AB9" w:rsidRDefault="00147D87" w:rsidP="00883AB9">
            <w:pPr>
              <w:pStyle w:val="texto0"/>
              <w:spacing w:after="50" w:line="208" w:lineRule="exact"/>
              <w:ind w:firstLine="0"/>
              <w:rPr>
                <w:sz w:val="16"/>
                <w:szCs w:val="16"/>
              </w:rPr>
            </w:pPr>
            <w:r w:rsidRPr="00883AB9">
              <w:rPr>
                <w:sz w:val="16"/>
                <w:szCs w:val="16"/>
              </w:rPr>
              <w:t>Publicada en el Diario Oficial de la Federación el 16 de octubre de 2014, Anexo 3, publicado en el Diario Oficial de la Federación el 17 de octubre de 2014.</w:t>
            </w:r>
          </w:p>
        </w:tc>
      </w:tr>
    </w:tbl>
    <w:p w14:paraId="49C7375D" w14:textId="77777777" w:rsidR="00147D87" w:rsidRDefault="00147D87" w:rsidP="00883AB9">
      <w:pPr>
        <w:pStyle w:val="texto0"/>
        <w:spacing w:after="50" w:line="208" w:lineRule="exact"/>
        <w:ind w:left="540" w:firstLine="0"/>
      </w:pPr>
    </w:p>
    <w:p w14:paraId="7AA3D0AF" w14:textId="77777777" w:rsidR="00883AB9" w:rsidRDefault="00883AB9" w:rsidP="00883AB9">
      <w:pPr>
        <w:pStyle w:val="texto0"/>
        <w:tabs>
          <w:tab w:val="left" w:leader="dot" w:pos="8730"/>
        </w:tabs>
        <w:spacing w:after="50" w:line="208" w:lineRule="exact"/>
        <w:ind w:left="547" w:firstLine="0"/>
        <w:rPr>
          <w:lang w:val="en-US"/>
        </w:rPr>
      </w:pPr>
      <w:r>
        <w:rPr>
          <w:lang w:val="en-US"/>
        </w:rPr>
        <w:tab/>
      </w:r>
    </w:p>
    <w:p w14:paraId="7989CAF9" w14:textId="77777777" w:rsidR="00147D87" w:rsidRDefault="00147D87" w:rsidP="00883AB9">
      <w:pPr>
        <w:pStyle w:val="texto0"/>
        <w:tabs>
          <w:tab w:val="right" w:leader="dot" w:pos="8730"/>
        </w:tabs>
        <w:spacing w:after="50" w:line="208" w:lineRule="exact"/>
        <w:ind w:left="1541" w:hanging="994"/>
      </w:pPr>
      <w:r w:rsidRPr="009A7B7D">
        <w:rPr>
          <w:b/>
        </w:rPr>
        <w:t>SEGUNDO.</w:t>
      </w:r>
      <w:r w:rsidR="00883AB9">
        <w:t xml:space="preserve"> </w:t>
      </w:r>
      <w:r w:rsidR="00883AB9">
        <w:tab/>
      </w:r>
    </w:p>
    <w:p w14:paraId="363CA6F9" w14:textId="77777777" w:rsidR="00147D87" w:rsidRDefault="00147D87" w:rsidP="00883AB9">
      <w:pPr>
        <w:pStyle w:val="texto0"/>
        <w:spacing w:after="50" w:line="208" w:lineRule="exact"/>
        <w:rPr>
          <w:color w:val="000000"/>
        </w:rPr>
      </w:pPr>
      <w:r w:rsidRPr="009A7B7D">
        <w:rPr>
          <w:color w:val="000000"/>
        </w:rPr>
        <w:t>Atentamente.</w:t>
      </w:r>
    </w:p>
    <w:p w14:paraId="4FDE6351" w14:textId="77777777" w:rsidR="008D231D" w:rsidRDefault="00147D87" w:rsidP="00883AB9">
      <w:pPr>
        <w:pStyle w:val="texto0"/>
        <w:spacing w:after="50" w:line="208" w:lineRule="exact"/>
        <w:rPr>
          <w:color w:val="000000"/>
        </w:rPr>
      </w:pPr>
      <w:r w:rsidRPr="009A7B7D">
        <w:rPr>
          <w:color w:val="000000"/>
        </w:rPr>
        <w:t>Ciudad de México, a 10 de octubre de 2023.</w:t>
      </w:r>
      <w:r w:rsidR="00883AB9">
        <w:rPr>
          <w:color w:val="000000"/>
        </w:rPr>
        <w:t xml:space="preserve">- </w:t>
      </w:r>
      <w:r w:rsidRPr="009A7B7D">
        <w:t xml:space="preserve">En suplencia por ausencia del Jefe del Servicio de Administración Tributaria, con fundamento en el artículo 4, primer párrafo del Reglamento Interior del </w:t>
      </w:r>
      <w:r w:rsidR="0084733D">
        <w:t xml:space="preserve"> </w:t>
      </w:r>
      <w:r w:rsidRPr="009A7B7D">
        <w:t>Servicio de Administración Tributaria, firma el</w:t>
      </w:r>
      <w:r w:rsidR="00883AB9">
        <w:t xml:space="preserve"> Administrador General Jurídico, </w:t>
      </w:r>
      <w:r w:rsidRPr="009A7B7D">
        <w:rPr>
          <w:color w:val="000000"/>
        </w:rPr>
        <w:t xml:space="preserve">Lic. </w:t>
      </w:r>
      <w:r w:rsidRPr="00883AB9">
        <w:rPr>
          <w:b/>
          <w:color w:val="000000"/>
        </w:rPr>
        <w:t>Ricardo Carrasco Varona</w:t>
      </w:r>
      <w:r w:rsidR="00883AB9">
        <w:rPr>
          <w:color w:val="000000"/>
        </w:rPr>
        <w:t>.- Rúbrica.</w:t>
      </w:r>
    </w:p>
    <w:p w14:paraId="2194F17F" w14:textId="77777777" w:rsidR="008D231D" w:rsidRDefault="008D231D" w:rsidP="00883AB9">
      <w:pPr>
        <w:pStyle w:val="texto0"/>
        <w:spacing w:after="50" w:line="208" w:lineRule="exact"/>
        <w:rPr>
          <w:color w:val="000000"/>
        </w:rPr>
        <w:sectPr w:rsidR="008D231D" w:rsidSect="00DA21C0">
          <w:headerReference w:type="even" r:id="rId7"/>
          <w:headerReference w:type="default" r:id="rId8"/>
          <w:pgSz w:w="12240" w:h="15840"/>
          <w:pgMar w:top="1152" w:right="1699" w:bottom="1296" w:left="1699" w:header="706" w:footer="706" w:gutter="0"/>
          <w:pgNumType w:start="5"/>
          <w:cols w:space="708"/>
          <w:docGrid w:linePitch="326"/>
        </w:sectPr>
      </w:pPr>
    </w:p>
    <w:p w14:paraId="6A014B28" w14:textId="77777777" w:rsidR="00147D87" w:rsidRDefault="00147D87" w:rsidP="008D231D">
      <w:pPr>
        <w:pStyle w:val="ANOTACION"/>
      </w:pPr>
      <w:r w:rsidRPr="009A7B7D">
        <w:lastRenderedPageBreak/>
        <w:t>TERCERA MODIFICACIÓN AL ANEXO 23 DE LA RESOLUCIÓN MISCELÁNEA FISCAL PARA 2023.</w:t>
      </w:r>
    </w:p>
    <w:p w14:paraId="4EAD3C4F" w14:textId="77777777" w:rsidR="00147D87" w:rsidRDefault="00147D87" w:rsidP="008D231D">
      <w:pPr>
        <w:pStyle w:val="texto0"/>
        <w:spacing w:line="303" w:lineRule="exact"/>
        <w:ind w:firstLine="0"/>
        <w:jc w:val="center"/>
        <w:rPr>
          <w:b/>
          <w:szCs w:val="14"/>
          <w:lang w:val="es-ES_tradnl"/>
        </w:rPr>
      </w:pPr>
      <w:r w:rsidRPr="009A7B7D">
        <w:rPr>
          <w:b/>
          <w:szCs w:val="14"/>
          <w:lang w:val="es-ES_tradnl"/>
        </w:rPr>
        <w:t>UBICACIÓN DE LAS UNIDADES ADMINISTRATIVAS DEL SAT</w:t>
      </w:r>
    </w:p>
    <w:p w14:paraId="66EF896D" w14:textId="77777777" w:rsidR="00147D87" w:rsidRDefault="00147D87" w:rsidP="008D231D">
      <w:pPr>
        <w:pStyle w:val="texto0"/>
        <w:spacing w:line="303" w:lineRule="exact"/>
        <w:ind w:firstLine="0"/>
        <w:jc w:val="center"/>
        <w:rPr>
          <w:b/>
          <w:szCs w:val="14"/>
          <w:lang w:val="es-ES_tradnl"/>
        </w:rPr>
      </w:pPr>
      <w:r w:rsidRPr="009A7B7D">
        <w:rPr>
          <w:b/>
          <w:szCs w:val="14"/>
          <w:lang w:val="es-ES_tradnl"/>
        </w:rPr>
        <w:t>Contenido</w:t>
      </w:r>
    </w:p>
    <w:p w14:paraId="0E77F590" w14:textId="77777777" w:rsidR="00147D87" w:rsidRPr="009A7B7D" w:rsidRDefault="00147D87" w:rsidP="00C75336">
      <w:pPr>
        <w:pStyle w:val="texto0"/>
        <w:spacing w:line="300" w:lineRule="exact"/>
        <w:ind w:left="720" w:hanging="432"/>
        <w:rPr>
          <w:b/>
          <w:szCs w:val="14"/>
        </w:rPr>
      </w:pPr>
      <w:r w:rsidRPr="009A7B7D">
        <w:rPr>
          <w:b/>
          <w:szCs w:val="14"/>
        </w:rPr>
        <w:t>I.</w:t>
      </w:r>
      <w:r w:rsidRPr="009A7B7D">
        <w:rPr>
          <w:b/>
          <w:szCs w:val="14"/>
        </w:rPr>
        <w:tab/>
        <w:t>Administración General de Recaudación</w:t>
      </w:r>
    </w:p>
    <w:p w14:paraId="2B145C6C" w14:textId="77777777" w:rsidR="00147D87" w:rsidRPr="008D231D" w:rsidRDefault="00147D87" w:rsidP="00C75336">
      <w:pPr>
        <w:pStyle w:val="texto0"/>
        <w:spacing w:line="300" w:lineRule="exact"/>
        <w:ind w:left="720" w:hanging="432"/>
        <w:rPr>
          <w:b/>
          <w:szCs w:val="14"/>
        </w:rPr>
      </w:pPr>
      <w:r w:rsidRPr="009A7B7D">
        <w:rPr>
          <w:b/>
          <w:szCs w:val="14"/>
        </w:rPr>
        <w:tab/>
      </w:r>
      <w:r w:rsidRPr="008D231D">
        <w:rPr>
          <w:b/>
          <w:szCs w:val="14"/>
        </w:rPr>
        <w:t>…</w:t>
      </w:r>
    </w:p>
    <w:p w14:paraId="472A5D2C" w14:textId="77777777" w:rsidR="00147D87" w:rsidRPr="008D231D" w:rsidRDefault="00147D87" w:rsidP="00C75336">
      <w:pPr>
        <w:pStyle w:val="texto0"/>
        <w:spacing w:line="300" w:lineRule="exact"/>
        <w:ind w:left="720" w:hanging="432"/>
        <w:rPr>
          <w:b/>
          <w:szCs w:val="14"/>
        </w:rPr>
      </w:pPr>
      <w:r w:rsidRPr="008D231D">
        <w:rPr>
          <w:b/>
          <w:szCs w:val="14"/>
        </w:rPr>
        <w:t>II.</w:t>
      </w:r>
      <w:r w:rsidRPr="008D231D">
        <w:rPr>
          <w:b/>
          <w:szCs w:val="14"/>
        </w:rPr>
        <w:tab/>
        <w:t>Administración General de Auditoría Fiscal Federal</w:t>
      </w:r>
    </w:p>
    <w:p w14:paraId="3F4534D4" w14:textId="77777777" w:rsidR="00147D87" w:rsidRPr="008D231D" w:rsidRDefault="00147D87" w:rsidP="00C75336">
      <w:pPr>
        <w:pStyle w:val="texto0"/>
        <w:spacing w:line="300" w:lineRule="exact"/>
        <w:ind w:left="720" w:hanging="432"/>
        <w:rPr>
          <w:b/>
          <w:szCs w:val="14"/>
        </w:rPr>
      </w:pPr>
      <w:r w:rsidRPr="008D231D">
        <w:rPr>
          <w:b/>
          <w:szCs w:val="14"/>
        </w:rPr>
        <w:tab/>
        <w:t>…</w:t>
      </w:r>
    </w:p>
    <w:p w14:paraId="5D088CAB" w14:textId="77777777" w:rsidR="00147D87" w:rsidRPr="008D231D" w:rsidRDefault="00147D87" w:rsidP="00C75336">
      <w:pPr>
        <w:pStyle w:val="texto0"/>
        <w:spacing w:line="300" w:lineRule="exact"/>
        <w:ind w:left="720" w:hanging="432"/>
        <w:rPr>
          <w:b/>
          <w:szCs w:val="14"/>
        </w:rPr>
      </w:pPr>
      <w:r w:rsidRPr="008D231D">
        <w:rPr>
          <w:b/>
          <w:szCs w:val="14"/>
        </w:rPr>
        <w:t>III.</w:t>
      </w:r>
      <w:r w:rsidRPr="008D231D">
        <w:rPr>
          <w:b/>
          <w:szCs w:val="14"/>
        </w:rPr>
        <w:tab/>
        <w:t>Administración General de Auditoría de Comercio Exterior</w:t>
      </w:r>
    </w:p>
    <w:p w14:paraId="2C096C4A" w14:textId="77777777" w:rsidR="00147D87" w:rsidRPr="008D231D" w:rsidRDefault="00147D87" w:rsidP="00C75336">
      <w:pPr>
        <w:pStyle w:val="texto0"/>
        <w:spacing w:line="300" w:lineRule="exact"/>
        <w:ind w:left="720" w:hanging="432"/>
        <w:rPr>
          <w:b/>
          <w:szCs w:val="14"/>
        </w:rPr>
      </w:pPr>
      <w:r w:rsidRPr="008D231D">
        <w:rPr>
          <w:b/>
          <w:szCs w:val="14"/>
        </w:rPr>
        <w:tab/>
        <w:t>…</w:t>
      </w:r>
    </w:p>
    <w:p w14:paraId="008C2981" w14:textId="77777777" w:rsidR="00147D87" w:rsidRPr="008D231D" w:rsidRDefault="00147D87" w:rsidP="00C75336">
      <w:pPr>
        <w:pStyle w:val="texto0"/>
        <w:spacing w:line="300" w:lineRule="exact"/>
        <w:ind w:left="720" w:hanging="432"/>
        <w:rPr>
          <w:b/>
          <w:szCs w:val="14"/>
        </w:rPr>
      </w:pPr>
      <w:r w:rsidRPr="008D231D">
        <w:rPr>
          <w:b/>
          <w:szCs w:val="14"/>
        </w:rPr>
        <w:t>IV.</w:t>
      </w:r>
      <w:r w:rsidRPr="008D231D">
        <w:rPr>
          <w:b/>
          <w:szCs w:val="14"/>
        </w:rPr>
        <w:tab/>
        <w:t>Administración General de Grandes Contribuyentes</w:t>
      </w:r>
    </w:p>
    <w:p w14:paraId="1C20EC71" w14:textId="77777777" w:rsidR="00147D87" w:rsidRPr="008D231D" w:rsidRDefault="00147D87" w:rsidP="00C75336">
      <w:pPr>
        <w:pStyle w:val="texto0"/>
        <w:spacing w:line="300" w:lineRule="exact"/>
        <w:ind w:left="720" w:hanging="432"/>
        <w:rPr>
          <w:b/>
          <w:szCs w:val="14"/>
        </w:rPr>
      </w:pPr>
      <w:r w:rsidRPr="008D231D">
        <w:rPr>
          <w:b/>
          <w:szCs w:val="14"/>
        </w:rPr>
        <w:tab/>
        <w:t>…</w:t>
      </w:r>
    </w:p>
    <w:p w14:paraId="361B75D5" w14:textId="77777777" w:rsidR="00147D87" w:rsidRPr="008D231D" w:rsidRDefault="00147D87" w:rsidP="00C75336">
      <w:pPr>
        <w:pStyle w:val="texto0"/>
        <w:spacing w:line="300" w:lineRule="exact"/>
        <w:ind w:left="720" w:hanging="432"/>
        <w:rPr>
          <w:b/>
          <w:szCs w:val="14"/>
        </w:rPr>
      </w:pPr>
      <w:r w:rsidRPr="008D231D">
        <w:rPr>
          <w:b/>
          <w:szCs w:val="14"/>
        </w:rPr>
        <w:t>V.</w:t>
      </w:r>
      <w:r w:rsidRPr="008D231D">
        <w:rPr>
          <w:b/>
          <w:szCs w:val="14"/>
        </w:rPr>
        <w:tab/>
        <w:t>Administración General de Hidrocarburos</w:t>
      </w:r>
    </w:p>
    <w:p w14:paraId="568435FF" w14:textId="77777777" w:rsidR="00147D87" w:rsidRPr="008D231D" w:rsidRDefault="00147D87" w:rsidP="00C75336">
      <w:pPr>
        <w:pStyle w:val="texto0"/>
        <w:spacing w:line="300" w:lineRule="exact"/>
        <w:ind w:left="720" w:hanging="432"/>
        <w:rPr>
          <w:b/>
          <w:szCs w:val="14"/>
        </w:rPr>
      </w:pPr>
      <w:r w:rsidRPr="008D231D">
        <w:rPr>
          <w:b/>
          <w:szCs w:val="14"/>
        </w:rPr>
        <w:tab/>
        <w:t>…</w:t>
      </w:r>
    </w:p>
    <w:p w14:paraId="2918500E" w14:textId="77777777" w:rsidR="00147D87" w:rsidRPr="008D231D" w:rsidRDefault="00147D87" w:rsidP="00C75336">
      <w:pPr>
        <w:pStyle w:val="texto0"/>
        <w:spacing w:line="300" w:lineRule="exact"/>
        <w:ind w:left="720" w:hanging="432"/>
        <w:rPr>
          <w:b/>
          <w:szCs w:val="14"/>
        </w:rPr>
      </w:pPr>
      <w:r w:rsidRPr="008D231D">
        <w:rPr>
          <w:b/>
          <w:szCs w:val="14"/>
        </w:rPr>
        <w:t>VI.</w:t>
      </w:r>
      <w:r w:rsidRPr="008D231D">
        <w:rPr>
          <w:b/>
          <w:szCs w:val="14"/>
        </w:rPr>
        <w:tab/>
        <w:t>Administración General de Servicios al Contribuyente</w:t>
      </w:r>
    </w:p>
    <w:p w14:paraId="24C3E974" w14:textId="77777777" w:rsidR="00147D87" w:rsidRPr="008D231D" w:rsidRDefault="00147D87" w:rsidP="00C75336">
      <w:pPr>
        <w:pStyle w:val="texto0"/>
        <w:spacing w:line="300" w:lineRule="exact"/>
        <w:ind w:left="720" w:hanging="432"/>
        <w:rPr>
          <w:b/>
          <w:szCs w:val="14"/>
        </w:rPr>
      </w:pPr>
      <w:r w:rsidRPr="008D231D">
        <w:rPr>
          <w:b/>
          <w:szCs w:val="14"/>
        </w:rPr>
        <w:tab/>
        <w:t>…</w:t>
      </w:r>
    </w:p>
    <w:p w14:paraId="0ADFBBBE" w14:textId="77777777" w:rsidR="00147D87" w:rsidRPr="008D231D" w:rsidRDefault="00147D87" w:rsidP="00C75336">
      <w:pPr>
        <w:pStyle w:val="texto0"/>
        <w:spacing w:line="300" w:lineRule="exact"/>
        <w:ind w:left="720" w:hanging="432"/>
        <w:rPr>
          <w:b/>
          <w:szCs w:val="14"/>
        </w:rPr>
      </w:pPr>
      <w:r w:rsidRPr="008D231D">
        <w:rPr>
          <w:b/>
          <w:szCs w:val="14"/>
        </w:rPr>
        <w:t>VII.</w:t>
      </w:r>
      <w:r w:rsidRPr="008D231D">
        <w:rPr>
          <w:b/>
          <w:szCs w:val="14"/>
        </w:rPr>
        <w:tab/>
        <w:t>Administración General Jurídica</w:t>
      </w:r>
    </w:p>
    <w:p w14:paraId="44322F21" w14:textId="77777777" w:rsidR="00147D87" w:rsidRPr="008D231D" w:rsidRDefault="00147D87" w:rsidP="00C75336">
      <w:pPr>
        <w:pStyle w:val="texto0"/>
        <w:spacing w:line="300" w:lineRule="exact"/>
        <w:ind w:left="1152" w:hanging="432"/>
        <w:rPr>
          <w:b/>
          <w:szCs w:val="14"/>
        </w:rPr>
      </w:pPr>
      <w:r w:rsidRPr="008D231D">
        <w:rPr>
          <w:b/>
          <w:szCs w:val="14"/>
        </w:rPr>
        <w:t>A.</w:t>
      </w:r>
      <w:r w:rsidRPr="008D231D">
        <w:rPr>
          <w:b/>
          <w:szCs w:val="14"/>
        </w:rPr>
        <w:tab/>
        <w:t>…</w:t>
      </w:r>
    </w:p>
    <w:p w14:paraId="5446ED4A" w14:textId="77777777" w:rsidR="00147D87" w:rsidRPr="00E25A48" w:rsidRDefault="00147D87" w:rsidP="00C75336">
      <w:pPr>
        <w:pStyle w:val="texto0"/>
        <w:spacing w:line="300" w:lineRule="exact"/>
        <w:ind w:left="1152" w:hanging="432"/>
        <w:rPr>
          <w:szCs w:val="14"/>
        </w:rPr>
      </w:pPr>
      <w:r w:rsidRPr="008D231D">
        <w:rPr>
          <w:b/>
          <w:szCs w:val="14"/>
        </w:rPr>
        <w:t>B.</w:t>
      </w:r>
      <w:r w:rsidRPr="008D231D">
        <w:rPr>
          <w:b/>
          <w:szCs w:val="14"/>
        </w:rPr>
        <w:tab/>
      </w:r>
      <w:r w:rsidRPr="00E25A48">
        <w:rPr>
          <w:szCs w:val="14"/>
        </w:rPr>
        <w:t>Administraciones Desconcentradas Jurídicas</w:t>
      </w:r>
    </w:p>
    <w:p w14:paraId="400A03BA" w14:textId="77777777" w:rsidR="00147D87" w:rsidRPr="008D231D" w:rsidRDefault="00147D87" w:rsidP="00C75336">
      <w:pPr>
        <w:pStyle w:val="texto0"/>
        <w:spacing w:line="300" w:lineRule="exact"/>
        <w:ind w:left="720" w:hanging="432"/>
        <w:rPr>
          <w:b/>
          <w:szCs w:val="14"/>
        </w:rPr>
      </w:pPr>
      <w:r w:rsidRPr="008D231D">
        <w:rPr>
          <w:b/>
          <w:szCs w:val="14"/>
        </w:rPr>
        <w:t>VIII.</w:t>
      </w:r>
      <w:r w:rsidRPr="008D231D">
        <w:rPr>
          <w:b/>
          <w:szCs w:val="14"/>
        </w:rPr>
        <w:tab/>
        <w:t>Administración General de Recursos y Servicios</w:t>
      </w:r>
    </w:p>
    <w:p w14:paraId="5B3DDA39" w14:textId="77777777" w:rsidR="00147D87" w:rsidRPr="008D231D" w:rsidRDefault="00147D87" w:rsidP="00C75336">
      <w:pPr>
        <w:pStyle w:val="texto0"/>
        <w:spacing w:line="300" w:lineRule="exact"/>
        <w:ind w:left="720" w:hanging="432"/>
        <w:rPr>
          <w:b/>
          <w:szCs w:val="14"/>
        </w:rPr>
      </w:pPr>
      <w:r w:rsidRPr="008D231D">
        <w:rPr>
          <w:b/>
          <w:szCs w:val="14"/>
        </w:rPr>
        <w:tab/>
        <w:t>…</w:t>
      </w:r>
    </w:p>
    <w:p w14:paraId="6EE9ACDF" w14:textId="77777777" w:rsidR="00147D87" w:rsidRPr="008D231D" w:rsidRDefault="00147D87" w:rsidP="00C75336">
      <w:pPr>
        <w:pStyle w:val="texto0"/>
        <w:spacing w:line="300" w:lineRule="exact"/>
        <w:ind w:left="720" w:hanging="432"/>
        <w:rPr>
          <w:b/>
          <w:szCs w:val="14"/>
        </w:rPr>
      </w:pPr>
      <w:r w:rsidRPr="008D231D">
        <w:rPr>
          <w:b/>
          <w:szCs w:val="14"/>
        </w:rPr>
        <w:t>IX.</w:t>
      </w:r>
      <w:r w:rsidRPr="008D231D">
        <w:rPr>
          <w:b/>
          <w:szCs w:val="14"/>
        </w:rPr>
        <w:tab/>
        <w:t>Administración General de Comunicaciones y Tecnologías de la Información</w:t>
      </w:r>
    </w:p>
    <w:p w14:paraId="1599E3FF" w14:textId="77777777" w:rsidR="00147D87" w:rsidRPr="008D231D" w:rsidRDefault="00147D87" w:rsidP="00C75336">
      <w:pPr>
        <w:pStyle w:val="texto0"/>
        <w:spacing w:line="300" w:lineRule="exact"/>
        <w:ind w:left="720" w:hanging="432"/>
        <w:rPr>
          <w:b/>
          <w:szCs w:val="14"/>
        </w:rPr>
      </w:pPr>
      <w:r w:rsidRPr="008D231D">
        <w:rPr>
          <w:b/>
          <w:szCs w:val="14"/>
        </w:rPr>
        <w:tab/>
        <w:t>…</w:t>
      </w:r>
    </w:p>
    <w:p w14:paraId="4BCC6037" w14:textId="77777777" w:rsidR="00147D87" w:rsidRPr="008D231D" w:rsidRDefault="00147D87" w:rsidP="008D231D">
      <w:pPr>
        <w:pStyle w:val="texto0"/>
        <w:spacing w:after="80"/>
        <w:ind w:left="990" w:hanging="702"/>
        <w:rPr>
          <w:b/>
          <w:szCs w:val="14"/>
        </w:rPr>
      </w:pPr>
      <w:r w:rsidRPr="009A7B7D">
        <w:rPr>
          <w:b/>
          <w:szCs w:val="14"/>
        </w:rPr>
        <w:lastRenderedPageBreak/>
        <w:t>I. a VI.</w:t>
      </w:r>
      <w:r w:rsidRPr="009A7B7D">
        <w:rPr>
          <w:b/>
          <w:szCs w:val="14"/>
        </w:rPr>
        <w:tab/>
      </w:r>
      <w:r w:rsidRPr="008D231D">
        <w:rPr>
          <w:b/>
          <w:szCs w:val="14"/>
        </w:rPr>
        <w:t>…</w:t>
      </w:r>
    </w:p>
    <w:p w14:paraId="7A93E8C1" w14:textId="77777777" w:rsidR="00147D87" w:rsidRPr="009A7B7D" w:rsidRDefault="00147D87" w:rsidP="008D231D">
      <w:pPr>
        <w:pStyle w:val="texto0"/>
        <w:spacing w:after="80"/>
        <w:ind w:left="990" w:hanging="702"/>
        <w:rPr>
          <w:b/>
          <w:szCs w:val="14"/>
        </w:rPr>
      </w:pPr>
      <w:r w:rsidRPr="009A7B7D">
        <w:rPr>
          <w:b/>
          <w:szCs w:val="14"/>
        </w:rPr>
        <w:t>VII.</w:t>
      </w:r>
      <w:r w:rsidRPr="009A7B7D">
        <w:rPr>
          <w:b/>
          <w:szCs w:val="14"/>
        </w:rPr>
        <w:tab/>
        <w:t>Administración General Jurídica</w:t>
      </w:r>
    </w:p>
    <w:p w14:paraId="17553EF5" w14:textId="77777777" w:rsidR="00147D87" w:rsidRPr="008D231D" w:rsidRDefault="00147D87" w:rsidP="008D231D">
      <w:pPr>
        <w:pStyle w:val="texto0"/>
        <w:spacing w:after="80"/>
        <w:ind w:left="990" w:hanging="702"/>
        <w:rPr>
          <w:b/>
          <w:szCs w:val="14"/>
        </w:rPr>
      </w:pPr>
      <w:r w:rsidRPr="009A7B7D">
        <w:rPr>
          <w:szCs w:val="14"/>
        </w:rPr>
        <w:tab/>
      </w:r>
      <w:r w:rsidRPr="008D231D">
        <w:rPr>
          <w:b/>
          <w:szCs w:val="14"/>
        </w:rPr>
        <w:t>…</w:t>
      </w:r>
    </w:p>
    <w:p w14:paraId="3C5D06CF" w14:textId="77777777" w:rsidR="00147D87" w:rsidRPr="008D231D" w:rsidRDefault="00147D87" w:rsidP="008D231D">
      <w:pPr>
        <w:pStyle w:val="texto0"/>
        <w:spacing w:after="80"/>
        <w:ind w:left="990" w:hanging="702"/>
        <w:rPr>
          <w:b/>
          <w:szCs w:val="14"/>
        </w:rPr>
      </w:pPr>
      <w:r w:rsidRPr="008D231D">
        <w:rPr>
          <w:b/>
          <w:szCs w:val="14"/>
        </w:rPr>
        <w:t>A.</w:t>
      </w:r>
      <w:r w:rsidRPr="008D231D">
        <w:rPr>
          <w:b/>
          <w:szCs w:val="14"/>
        </w:rPr>
        <w:tab/>
        <w:t>…</w:t>
      </w:r>
    </w:p>
    <w:p w14:paraId="57DB09D1" w14:textId="77777777" w:rsidR="00147D87" w:rsidRDefault="00147D87" w:rsidP="008D231D">
      <w:pPr>
        <w:pStyle w:val="texto0"/>
        <w:spacing w:after="80"/>
        <w:ind w:left="990" w:hanging="702"/>
        <w:rPr>
          <w:szCs w:val="14"/>
        </w:rPr>
      </w:pPr>
      <w:r w:rsidRPr="009A7B7D">
        <w:rPr>
          <w:b/>
          <w:szCs w:val="14"/>
        </w:rPr>
        <w:t>B.</w:t>
      </w:r>
      <w:r w:rsidRPr="009A7B7D">
        <w:rPr>
          <w:szCs w:val="14"/>
        </w:rPr>
        <w:tab/>
        <w:t>Administraciones Desconcentradas Jurídicas</w:t>
      </w:r>
    </w:p>
    <w:p w14:paraId="09146FDF" w14:textId="77777777" w:rsidR="00147D87" w:rsidRDefault="00147D87" w:rsidP="008D231D">
      <w:pPr>
        <w:pStyle w:val="texto0"/>
        <w:tabs>
          <w:tab w:val="left" w:pos="1710"/>
        </w:tabs>
        <w:spacing w:after="80"/>
        <w:ind w:left="990" w:hanging="702"/>
        <w:rPr>
          <w:szCs w:val="14"/>
        </w:rPr>
      </w:pPr>
      <w:r w:rsidRPr="009A7B7D">
        <w:rPr>
          <w:szCs w:val="14"/>
        </w:rPr>
        <w:tab/>
      </w:r>
      <w:r w:rsidRPr="009A7B7D">
        <w:rPr>
          <w:b/>
          <w:szCs w:val="14"/>
        </w:rPr>
        <w:t xml:space="preserve">1. </w:t>
      </w:r>
      <w:r w:rsidRPr="009A7B7D">
        <w:rPr>
          <w:szCs w:val="14"/>
        </w:rPr>
        <w:t xml:space="preserve">a </w:t>
      </w:r>
      <w:r w:rsidRPr="009A7B7D">
        <w:rPr>
          <w:b/>
          <w:szCs w:val="14"/>
        </w:rPr>
        <w:t>22.</w:t>
      </w:r>
      <w:r w:rsidRPr="009A7B7D">
        <w:rPr>
          <w:szCs w:val="14"/>
        </w:rPr>
        <w:tab/>
      </w:r>
      <w:r w:rsidRPr="008D231D">
        <w:rPr>
          <w:b/>
          <w:szCs w:val="14"/>
        </w:rPr>
        <w:t>…</w:t>
      </w:r>
    </w:p>
    <w:p w14:paraId="7014626D" w14:textId="77777777" w:rsidR="00147D87" w:rsidRPr="009A7B7D" w:rsidRDefault="00147D87" w:rsidP="008D231D">
      <w:pPr>
        <w:pStyle w:val="texto0"/>
        <w:spacing w:after="80"/>
        <w:ind w:left="1710" w:hanging="720"/>
        <w:rPr>
          <w:szCs w:val="14"/>
        </w:rPr>
      </w:pPr>
      <w:r w:rsidRPr="009A7B7D">
        <w:rPr>
          <w:b/>
          <w:szCs w:val="14"/>
        </w:rPr>
        <w:t xml:space="preserve">23. </w:t>
      </w:r>
      <w:r w:rsidRPr="009A7B7D">
        <w:rPr>
          <w:b/>
          <w:szCs w:val="14"/>
        </w:rPr>
        <w:tab/>
      </w:r>
      <w:r w:rsidRPr="009A7B7D">
        <w:rPr>
          <w:szCs w:val="14"/>
        </w:rPr>
        <w:t>Jalisco “1”</w:t>
      </w:r>
    </w:p>
    <w:p w14:paraId="5910D413" w14:textId="77777777" w:rsidR="00147D87" w:rsidRPr="009A7B7D" w:rsidRDefault="00147D87" w:rsidP="008D231D">
      <w:pPr>
        <w:pStyle w:val="texto0"/>
        <w:spacing w:after="80"/>
        <w:ind w:left="1710" w:firstLine="0"/>
        <w:rPr>
          <w:szCs w:val="14"/>
        </w:rPr>
      </w:pPr>
      <w:r w:rsidRPr="009A7B7D">
        <w:rPr>
          <w:szCs w:val="14"/>
        </w:rPr>
        <w:t xml:space="preserve">Ubicación de la Sede: </w:t>
      </w:r>
      <w:r w:rsidRPr="009A7B7D">
        <w:rPr>
          <w:b/>
          <w:szCs w:val="14"/>
        </w:rPr>
        <w:t>Jalisco</w:t>
      </w:r>
    </w:p>
    <w:p w14:paraId="75A4CD11" w14:textId="77777777" w:rsidR="00147D87" w:rsidRPr="009A7B7D" w:rsidRDefault="00147D87" w:rsidP="008D231D">
      <w:pPr>
        <w:pStyle w:val="texto0"/>
        <w:spacing w:after="60"/>
        <w:ind w:left="1710" w:firstLine="0"/>
        <w:rPr>
          <w:szCs w:val="14"/>
        </w:rPr>
      </w:pPr>
      <w:r w:rsidRPr="009A7B7D">
        <w:rPr>
          <w:szCs w:val="14"/>
        </w:rPr>
        <w:t>Domicilio: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8"/>
        <w:gridCol w:w="1051"/>
        <w:gridCol w:w="1156"/>
        <w:gridCol w:w="1099"/>
        <w:gridCol w:w="1271"/>
        <w:gridCol w:w="1115"/>
        <w:gridCol w:w="837"/>
        <w:gridCol w:w="1255"/>
        <w:gridCol w:w="1083"/>
        <w:gridCol w:w="1287"/>
        <w:gridCol w:w="1532"/>
      </w:tblGrid>
      <w:tr w:rsidR="008D231D" w:rsidRPr="008D231D" w14:paraId="37E99412" w14:textId="77777777">
        <w:tblPrEx>
          <w:tblCellMar>
            <w:top w:w="0" w:type="dxa"/>
            <w:bottom w:w="0" w:type="dxa"/>
          </w:tblCellMar>
        </w:tblPrEx>
        <w:trPr>
          <w:trHeight w:val="144"/>
        </w:trPr>
        <w:tc>
          <w:tcPr>
            <w:tcW w:w="1443" w:type="dxa"/>
            <w:shd w:val="clear" w:color="auto" w:fill="C0C0C0"/>
            <w:vAlign w:val="center"/>
          </w:tcPr>
          <w:p w14:paraId="4E5C0228"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Tipo de vialidad</w:t>
            </w:r>
          </w:p>
        </w:tc>
        <w:tc>
          <w:tcPr>
            <w:tcW w:w="1068" w:type="dxa"/>
            <w:shd w:val="clear" w:color="auto" w:fill="C0C0C0"/>
            <w:vAlign w:val="center"/>
          </w:tcPr>
          <w:p w14:paraId="3ACB9179"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Calle</w:t>
            </w:r>
          </w:p>
        </w:tc>
        <w:tc>
          <w:tcPr>
            <w:tcW w:w="1175" w:type="dxa"/>
            <w:shd w:val="clear" w:color="auto" w:fill="C0C0C0"/>
            <w:vAlign w:val="center"/>
          </w:tcPr>
          <w:p w14:paraId="2E9899BD"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Número Exterior</w:t>
            </w:r>
          </w:p>
        </w:tc>
        <w:tc>
          <w:tcPr>
            <w:tcW w:w="1117" w:type="dxa"/>
            <w:shd w:val="clear" w:color="auto" w:fill="C0C0C0"/>
            <w:vAlign w:val="center"/>
          </w:tcPr>
          <w:p w14:paraId="2F4EA5C7"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Número interior</w:t>
            </w:r>
          </w:p>
        </w:tc>
        <w:tc>
          <w:tcPr>
            <w:tcW w:w="1293" w:type="dxa"/>
            <w:shd w:val="clear" w:color="auto" w:fill="C0C0C0"/>
            <w:vAlign w:val="center"/>
          </w:tcPr>
          <w:p w14:paraId="773A8D05"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Tipo de asentamiento</w:t>
            </w:r>
          </w:p>
        </w:tc>
        <w:tc>
          <w:tcPr>
            <w:tcW w:w="1134" w:type="dxa"/>
            <w:shd w:val="clear" w:color="auto" w:fill="C0C0C0"/>
            <w:vAlign w:val="center"/>
          </w:tcPr>
          <w:p w14:paraId="1C40EED5"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Colonia</w:t>
            </w:r>
          </w:p>
        </w:tc>
        <w:tc>
          <w:tcPr>
            <w:tcW w:w="850" w:type="dxa"/>
            <w:shd w:val="clear" w:color="auto" w:fill="C0C0C0"/>
            <w:vAlign w:val="center"/>
          </w:tcPr>
          <w:p w14:paraId="02171828"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Código Postal</w:t>
            </w:r>
          </w:p>
        </w:tc>
        <w:tc>
          <w:tcPr>
            <w:tcW w:w="1276" w:type="dxa"/>
            <w:shd w:val="clear" w:color="auto" w:fill="C0C0C0"/>
            <w:vAlign w:val="center"/>
          </w:tcPr>
          <w:p w14:paraId="4B06618A"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Entre calles o Referencias</w:t>
            </w:r>
          </w:p>
        </w:tc>
        <w:tc>
          <w:tcPr>
            <w:tcW w:w="1101" w:type="dxa"/>
            <w:shd w:val="clear" w:color="auto" w:fill="C0C0C0"/>
            <w:vAlign w:val="center"/>
          </w:tcPr>
          <w:p w14:paraId="4ED8CF04"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Localidad</w:t>
            </w:r>
          </w:p>
        </w:tc>
        <w:tc>
          <w:tcPr>
            <w:tcW w:w="1309" w:type="dxa"/>
            <w:shd w:val="clear" w:color="auto" w:fill="C0C0C0"/>
            <w:vAlign w:val="center"/>
          </w:tcPr>
          <w:p w14:paraId="6E8A9BCD"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Alcaldía o Municipio</w:t>
            </w:r>
          </w:p>
        </w:tc>
        <w:tc>
          <w:tcPr>
            <w:tcW w:w="1559" w:type="dxa"/>
            <w:shd w:val="clear" w:color="auto" w:fill="C0C0C0"/>
            <w:vAlign w:val="center"/>
          </w:tcPr>
          <w:p w14:paraId="5687EF06"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Entidad Federativa</w:t>
            </w:r>
          </w:p>
        </w:tc>
      </w:tr>
      <w:tr w:rsidR="008D231D" w:rsidRPr="008D231D" w14:paraId="4C5E7BE0" w14:textId="77777777">
        <w:tblPrEx>
          <w:tblCellMar>
            <w:top w:w="0" w:type="dxa"/>
            <w:bottom w:w="0" w:type="dxa"/>
          </w:tblCellMar>
        </w:tblPrEx>
        <w:trPr>
          <w:trHeight w:val="144"/>
        </w:trPr>
        <w:tc>
          <w:tcPr>
            <w:tcW w:w="1443" w:type="dxa"/>
            <w:vAlign w:val="center"/>
          </w:tcPr>
          <w:p w14:paraId="16E236AE"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Avenida</w:t>
            </w:r>
          </w:p>
        </w:tc>
        <w:tc>
          <w:tcPr>
            <w:tcW w:w="1068" w:type="dxa"/>
            <w:vAlign w:val="center"/>
          </w:tcPr>
          <w:p w14:paraId="7F587744"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De las Américas</w:t>
            </w:r>
          </w:p>
        </w:tc>
        <w:tc>
          <w:tcPr>
            <w:tcW w:w="1175" w:type="dxa"/>
            <w:vAlign w:val="center"/>
          </w:tcPr>
          <w:p w14:paraId="7FE46588"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833</w:t>
            </w:r>
          </w:p>
        </w:tc>
        <w:tc>
          <w:tcPr>
            <w:tcW w:w="1117" w:type="dxa"/>
            <w:vAlign w:val="center"/>
          </w:tcPr>
          <w:p w14:paraId="78181FF1"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Planta baja</w:t>
            </w:r>
          </w:p>
        </w:tc>
        <w:tc>
          <w:tcPr>
            <w:tcW w:w="1293" w:type="dxa"/>
            <w:vAlign w:val="center"/>
          </w:tcPr>
          <w:p w14:paraId="508E6566"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Colonia</w:t>
            </w:r>
          </w:p>
        </w:tc>
        <w:tc>
          <w:tcPr>
            <w:tcW w:w="1134" w:type="dxa"/>
            <w:vAlign w:val="center"/>
          </w:tcPr>
          <w:p w14:paraId="01D4D5D9"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Jesús García</w:t>
            </w:r>
          </w:p>
        </w:tc>
        <w:tc>
          <w:tcPr>
            <w:tcW w:w="850" w:type="dxa"/>
            <w:vAlign w:val="center"/>
          </w:tcPr>
          <w:p w14:paraId="5D1C8680"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44656</w:t>
            </w:r>
          </w:p>
        </w:tc>
        <w:tc>
          <w:tcPr>
            <w:tcW w:w="1276" w:type="dxa"/>
            <w:vAlign w:val="center"/>
          </w:tcPr>
          <w:p w14:paraId="2A60BDD6"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Florencia y Colomos</w:t>
            </w:r>
          </w:p>
        </w:tc>
        <w:tc>
          <w:tcPr>
            <w:tcW w:w="1101" w:type="dxa"/>
            <w:vAlign w:val="center"/>
          </w:tcPr>
          <w:p w14:paraId="5C5F8359"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Guadalajara</w:t>
            </w:r>
          </w:p>
        </w:tc>
        <w:tc>
          <w:tcPr>
            <w:tcW w:w="1309" w:type="dxa"/>
            <w:vAlign w:val="center"/>
          </w:tcPr>
          <w:p w14:paraId="573EC78B"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Guadalajara</w:t>
            </w:r>
          </w:p>
        </w:tc>
        <w:tc>
          <w:tcPr>
            <w:tcW w:w="1559" w:type="dxa"/>
            <w:vAlign w:val="center"/>
          </w:tcPr>
          <w:p w14:paraId="1E7A1403"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Jalisco</w:t>
            </w:r>
          </w:p>
        </w:tc>
      </w:tr>
    </w:tbl>
    <w:p w14:paraId="5FC31079" w14:textId="77777777" w:rsidR="00147D87" w:rsidRPr="009A7B7D" w:rsidRDefault="00147D87" w:rsidP="00147D87">
      <w:pPr>
        <w:pStyle w:val="texto0"/>
        <w:rPr>
          <w:szCs w:val="14"/>
        </w:rPr>
      </w:pPr>
    </w:p>
    <w:p w14:paraId="595BD277" w14:textId="77777777" w:rsidR="00147D87" w:rsidRPr="009A7B7D" w:rsidRDefault="00147D87" w:rsidP="008D231D">
      <w:pPr>
        <w:pStyle w:val="texto0"/>
        <w:ind w:left="1710" w:hanging="720"/>
        <w:rPr>
          <w:szCs w:val="14"/>
        </w:rPr>
      </w:pPr>
      <w:r w:rsidRPr="009A7B7D">
        <w:rPr>
          <w:b/>
          <w:szCs w:val="14"/>
        </w:rPr>
        <w:t xml:space="preserve">24. </w:t>
      </w:r>
      <w:r w:rsidRPr="009A7B7D">
        <w:rPr>
          <w:b/>
          <w:szCs w:val="14"/>
        </w:rPr>
        <w:tab/>
      </w:r>
      <w:r w:rsidRPr="009A7B7D">
        <w:rPr>
          <w:szCs w:val="14"/>
        </w:rPr>
        <w:t>Jalisco “2”</w:t>
      </w:r>
    </w:p>
    <w:p w14:paraId="32A5F746" w14:textId="77777777" w:rsidR="00147D87" w:rsidRPr="009A7B7D" w:rsidRDefault="008D231D" w:rsidP="008D231D">
      <w:pPr>
        <w:pStyle w:val="texto0"/>
        <w:ind w:left="1710" w:hanging="720"/>
        <w:rPr>
          <w:szCs w:val="14"/>
        </w:rPr>
      </w:pPr>
      <w:r>
        <w:rPr>
          <w:szCs w:val="14"/>
        </w:rPr>
        <w:tab/>
      </w:r>
      <w:r w:rsidR="00147D87" w:rsidRPr="009A7B7D">
        <w:rPr>
          <w:szCs w:val="14"/>
        </w:rPr>
        <w:t xml:space="preserve">Ubicación de la Sede: </w:t>
      </w:r>
      <w:r w:rsidR="00147D87" w:rsidRPr="009A7B7D">
        <w:rPr>
          <w:b/>
          <w:szCs w:val="14"/>
        </w:rPr>
        <w:t>Jalisco</w:t>
      </w:r>
    </w:p>
    <w:p w14:paraId="240BFC51" w14:textId="77777777" w:rsidR="00147D87" w:rsidRPr="009A7B7D" w:rsidRDefault="008D231D" w:rsidP="008D231D">
      <w:pPr>
        <w:pStyle w:val="texto0"/>
        <w:ind w:left="1710" w:hanging="720"/>
        <w:rPr>
          <w:szCs w:val="14"/>
        </w:rPr>
      </w:pPr>
      <w:r>
        <w:rPr>
          <w:szCs w:val="14"/>
        </w:rPr>
        <w:tab/>
      </w:r>
      <w:r w:rsidR="00147D87" w:rsidRPr="009A7B7D">
        <w:rPr>
          <w:szCs w:val="14"/>
        </w:rPr>
        <w:t>Domicilio: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8"/>
        <w:gridCol w:w="1051"/>
        <w:gridCol w:w="1156"/>
        <w:gridCol w:w="1099"/>
        <w:gridCol w:w="1271"/>
        <w:gridCol w:w="1115"/>
        <w:gridCol w:w="837"/>
        <w:gridCol w:w="1255"/>
        <w:gridCol w:w="1083"/>
        <w:gridCol w:w="1287"/>
        <w:gridCol w:w="1532"/>
      </w:tblGrid>
      <w:tr w:rsidR="008D231D" w:rsidRPr="008D231D" w14:paraId="54F571BF" w14:textId="77777777">
        <w:tblPrEx>
          <w:tblCellMar>
            <w:top w:w="0" w:type="dxa"/>
            <w:bottom w:w="0" w:type="dxa"/>
          </w:tblCellMar>
        </w:tblPrEx>
        <w:trPr>
          <w:trHeight w:val="144"/>
        </w:trPr>
        <w:tc>
          <w:tcPr>
            <w:tcW w:w="1443" w:type="dxa"/>
            <w:shd w:val="clear" w:color="auto" w:fill="C0C0C0"/>
            <w:vAlign w:val="center"/>
          </w:tcPr>
          <w:p w14:paraId="7ADB78A1"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Tipo de vialidad</w:t>
            </w:r>
          </w:p>
        </w:tc>
        <w:tc>
          <w:tcPr>
            <w:tcW w:w="1068" w:type="dxa"/>
            <w:shd w:val="clear" w:color="auto" w:fill="C0C0C0"/>
            <w:vAlign w:val="center"/>
          </w:tcPr>
          <w:p w14:paraId="50AFA416"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Calle</w:t>
            </w:r>
          </w:p>
        </w:tc>
        <w:tc>
          <w:tcPr>
            <w:tcW w:w="1175" w:type="dxa"/>
            <w:shd w:val="clear" w:color="auto" w:fill="C0C0C0"/>
            <w:vAlign w:val="center"/>
          </w:tcPr>
          <w:p w14:paraId="7D36B389"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Número Exterior</w:t>
            </w:r>
          </w:p>
        </w:tc>
        <w:tc>
          <w:tcPr>
            <w:tcW w:w="1117" w:type="dxa"/>
            <w:shd w:val="clear" w:color="auto" w:fill="C0C0C0"/>
            <w:vAlign w:val="center"/>
          </w:tcPr>
          <w:p w14:paraId="36927CEA"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Número interior</w:t>
            </w:r>
          </w:p>
        </w:tc>
        <w:tc>
          <w:tcPr>
            <w:tcW w:w="1293" w:type="dxa"/>
            <w:shd w:val="clear" w:color="auto" w:fill="C0C0C0"/>
            <w:vAlign w:val="center"/>
          </w:tcPr>
          <w:p w14:paraId="2CCEF74C"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Tipo de asentamiento</w:t>
            </w:r>
          </w:p>
        </w:tc>
        <w:tc>
          <w:tcPr>
            <w:tcW w:w="1134" w:type="dxa"/>
            <w:shd w:val="clear" w:color="auto" w:fill="C0C0C0"/>
            <w:vAlign w:val="center"/>
          </w:tcPr>
          <w:p w14:paraId="1AF1F3BB"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Colonia</w:t>
            </w:r>
          </w:p>
        </w:tc>
        <w:tc>
          <w:tcPr>
            <w:tcW w:w="850" w:type="dxa"/>
            <w:shd w:val="clear" w:color="auto" w:fill="C0C0C0"/>
            <w:vAlign w:val="center"/>
          </w:tcPr>
          <w:p w14:paraId="4F200D99"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Código Postal</w:t>
            </w:r>
          </w:p>
        </w:tc>
        <w:tc>
          <w:tcPr>
            <w:tcW w:w="1276" w:type="dxa"/>
            <w:shd w:val="clear" w:color="auto" w:fill="C0C0C0"/>
            <w:vAlign w:val="center"/>
          </w:tcPr>
          <w:p w14:paraId="1BB6770F"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Entre calles o Referencias</w:t>
            </w:r>
          </w:p>
        </w:tc>
        <w:tc>
          <w:tcPr>
            <w:tcW w:w="1101" w:type="dxa"/>
            <w:shd w:val="clear" w:color="auto" w:fill="C0C0C0"/>
            <w:vAlign w:val="center"/>
          </w:tcPr>
          <w:p w14:paraId="42023112"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Localidad</w:t>
            </w:r>
          </w:p>
        </w:tc>
        <w:tc>
          <w:tcPr>
            <w:tcW w:w="1309" w:type="dxa"/>
            <w:shd w:val="clear" w:color="auto" w:fill="C0C0C0"/>
            <w:vAlign w:val="center"/>
          </w:tcPr>
          <w:p w14:paraId="69216956"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Alcaldía o Municipio</w:t>
            </w:r>
          </w:p>
        </w:tc>
        <w:tc>
          <w:tcPr>
            <w:tcW w:w="1559" w:type="dxa"/>
            <w:shd w:val="clear" w:color="auto" w:fill="C0C0C0"/>
            <w:vAlign w:val="center"/>
          </w:tcPr>
          <w:p w14:paraId="41D2F45D" w14:textId="77777777" w:rsidR="00147D87" w:rsidRPr="008D231D" w:rsidRDefault="00147D87" w:rsidP="00C75336">
            <w:pPr>
              <w:pStyle w:val="texto0"/>
              <w:spacing w:after="60" w:line="186" w:lineRule="exact"/>
              <w:ind w:firstLine="0"/>
              <w:jc w:val="center"/>
              <w:rPr>
                <w:b/>
                <w:sz w:val="14"/>
                <w:szCs w:val="14"/>
              </w:rPr>
            </w:pPr>
            <w:r w:rsidRPr="008D231D">
              <w:rPr>
                <w:b/>
                <w:sz w:val="14"/>
                <w:szCs w:val="14"/>
              </w:rPr>
              <w:t>Entidad Federativa</w:t>
            </w:r>
          </w:p>
        </w:tc>
      </w:tr>
      <w:tr w:rsidR="008D231D" w:rsidRPr="008D231D" w14:paraId="48673191" w14:textId="77777777">
        <w:tblPrEx>
          <w:tblCellMar>
            <w:top w:w="0" w:type="dxa"/>
            <w:bottom w:w="0" w:type="dxa"/>
          </w:tblCellMar>
        </w:tblPrEx>
        <w:trPr>
          <w:trHeight w:val="144"/>
        </w:trPr>
        <w:tc>
          <w:tcPr>
            <w:tcW w:w="1443" w:type="dxa"/>
            <w:vAlign w:val="center"/>
          </w:tcPr>
          <w:p w14:paraId="67197DAF"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Avenida</w:t>
            </w:r>
          </w:p>
        </w:tc>
        <w:tc>
          <w:tcPr>
            <w:tcW w:w="1068" w:type="dxa"/>
            <w:vAlign w:val="center"/>
          </w:tcPr>
          <w:p w14:paraId="57F77F7C"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De las Américas</w:t>
            </w:r>
          </w:p>
        </w:tc>
        <w:tc>
          <w:tcPr>
            <w:tcW w:w="1175" w:type="dxa"/>
            <w:vAlign w:val="center"/>
          </w:tcPr>
          <w:p w14:paraId="4CE29AE0"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833</w:t>
            </w:r>
          </w:p>
        </w:tc>
        <w:tc>
          <w:tcPr>
            <w:tcW w:w="1117" w:type="dxa"/>
            <w:vAlign w:val="center"/>
          </w:tcPr>
          <w:p w14:paraId="2C5C739E"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Planta baja</w:t>
            </w:r>
          </w:p>
        </w:tc>
        <w:tc>
          <w:tcPr>
            <w:tcW w:w="1293" w:type="dxa"/>
            <w:vAlign w:val="center"/>
          </w:tcPr>
          <w:p w14:paraId="71CC51FB"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Colonia</w:t>
            </w:r>
          </w:p>
        </w:tc>
        <w:tc>
          <w:tcPr>
            <w:tcW w:w="1134" w:type="dxa"/>
            <w:vAlign w:val="center"/>
          </w:tcPr>
          <w:p w14:paraId="4672055E"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Jesús García</w:t>
            </w:r>
          </w:p>
        </w:tc>
        <w:tc>
          <w:tcPr>
            <w:tcW w:w="850" w:type="dxa"/>
            <w:vAlign w:val="center"/>
          </w:tcPr>
          <w:p w14:paraId="1F44B24E"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44656</w:t>
            </w:r>
          </w:p>
        </w:tc>
        <w:tc>
          <w:tcPr>
            <w:tcW w:w="1276" w:type="dxa"/>
            <w:vAlign w:val="center"/>
          </w:tcPr>
          <w:p w14:paraId="297914EE"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Florencia y Colomos</w:t>
            </w:r>
          </w:p>
        </w:tc>
        <w:tc>
          <w:tcPr>
            <w:tcW w:w="1101" w:type="dxa"/>
            <w:vAlign w:val="center"/>
          </w:tcPr>
          <w:p w14:paraId="2524C9F3"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Guadalajara</w:t>
            </w:r>
          </w:p>
        </w:tc>
        <w:tc>
          <w:tcPr>
            <w:tcW w:w="1309" w:type="dxa"/>
            <w:vAlign w:val="center"/>
          </w:tcPr>
          <w:p w14:paraId="0F6440CD"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Guadalajara</w:t>
            </w:r>
          </w:p>
        </w:tc>
        <w:tc>
          <w:tcPr>
            <w:tcW w:w="1559" w:type="dxa"/>
            <w:vAlign w:val="center"/>
          </w:tcPr>
          <w:p w14:paraId="1416C3EE" w14:textId="77777777" w:rsidR="00147D87" w:rsidRPr="008D231D" w:rsidRDefault="00147D87" w:rsidP="00C75336">
            <w:pPr>
              <w:pStyle w:val="texto0"/>
              <w:spacing w:after="60" w:line="186" w:lineRule="exact"/>
              <w:ind w:firstLine="0"/>
              <w:jc w:val="center"/>
              <w:rPr>
                <w:sz w:val="14"/>
                <w:szCs w:val="14"/>
              </w:rPr>
            </w:pPr>
            <w:r w:rsidRPr="008D231D">
              <w:rPr>
                <w:sz w:val="14"/>
                <w:szCs w:val="14"/>
              </w:rPr>
              <w:t>Jalisco</w:t>
            </w:r>
          </w:p>
        </w:tc>
      </w:tr>
    </w:tbl>
    <w:p w14:paraId="39E552AE" w14:textId="77777777" w:rsidR="00147D87" w:rsidRPr="009A7B7D" w:rsidRDefault="00147D87" w:rsidP="00147D87">
      <w:pPr>
        <w:pStyle w:val="texto0"/>
        <w:rPr>
          <w:szCs w:val="14"/>
        </w:rPr>
      </w:pPr>
    </w:p>
    <w:p w14:paraId="2DA1B03C" w14:textId="77777777" w:rsidR="00147D87" w:rsidRPr="008D231D" w:rsidRDefault="00147D87" w:rsidP="008D231D">
      <w:pPr>
        <w:pStyle w:val="texto0"/>
        <w:ind w:left="1710" w:hanging="720"/>
        <w:rPr>
          <w:b/>
          <w:szCs w:val="14"/>
        </w:rPr>
      </w:pPr>
      <w:r w:rsidRPr="009A7B7D">
        <w:rPr>
          <w:b/>
          <w:szCs w:val="14"/>
        </w:rPr>
        <w:t xml:space="preserve">25. </w:t>
      </w:r>
      <w:r w:rsidRPr="009A7B7D">
        <w:rPr>
          <w:b/>
          <w:szCs w:val="14"/>
        </w:rPr>
        <w:tab/>
      </w:r>
      <w:r w:rsidRPr="008D231D">
        <w:rPr>
          <w:b/>
          <w:szCs w:val="14"/>
        </w:rPr>
        <w:t>…</w:t>
      </w:r>
    </w:p>
    <w:p w14:paraId="2EF2AB2A" w14:textId="77777777" w:rsidR="00147D87" w:rsidRPr="009A7B7D" w:rsidRDefault="00147D87" w:rsidP="008D231D">
      <w:pPr>
        <w:pStyle w:val="texto0"/>
        <w:ind w:left="1710" w:hanging="720"/>
        <w:rPr>
          <w:szCs w:val="14"/>
        </w:rPr>
      </w:pPr>
      <w:r w:rsidRPr="009A7B7D">
        <w:rPr>
          <w:b/>
          <w:szCs w:val="14"/>
        </w:rPr>
        <w:t xml:space="preserve">26. </w:t>
      </w:r>
      <w:r w:rsidRPr="009A7B7D">
        <w:rPr>
          <w:b/>
          <w:szCs w:val="14"/>
        </w:rPr>
        <w:tab/>
      </w:r>
      <w:r w:rsidRPr="009A7B7D">
        <w:rPr>
          <w:szCs w:val="14"/>
        </w:rPr>
        <w:t>Jalisco “4”</w:t>
      </w:r>
    </w:p>
    <w:p w14:paraId="2E9D3B08" w14:textId="77777777" w:rsidR="00147D87" w:rsidRPr="009A7B7D" w:rsidRDefault="00147D87" w:rsidP="008D231D">
      <w:pPr>
        <w:pStyle w:val="texto0"/>
        <w:ind w:left="1710" w:firstLine="0"/>
        <w:rPr>
          <w:szCs w:val="14"/>
        </w:rPr>
      </w:pPr>
      <w:r w:rsidRPr="009A7B7D">
        <w:rPr>
          <w:szCs w:val="14"/>
        </w:rPr>
        <w:t xml:space="preserve">Ubicación de la Sede: </w:t>
      </w:r>
      <w:r w:rsidRPr="009A7B7D">
        <w:rPr>
          <w:b/>
          <w:szCs w:val="14"/>
        </w:rPr>
        <w:t>Zapopan</w:t>
      </w:r>
    </w:p>
    <w:p w14:paraId="60EE7467" w14:textId="77777777" w:rsidR="00147D87" w:rsidRPr="009A7B7D" w:rsidRDefault="00147D87" w:rsidP="008D231D">
      <w:pPr>
        <w:pStyle w:val="texto0"/>
        <w:ind w:left="1710" w:firstLine="0"/>
        <w:rPr>
          <w:szCs w:val="14"/>
        </w:rPr>
      </w:pPr>
      <w:r w:rsidRPr="009A7B7D">
        <w:rPr>
          <w:szCs w:val="14"/>
        </w:rPr>
        <w:t>Domicilio: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8"/>
        <w:gridCol w:w="1051"/>
        <w:gridCol w:w="1156"/>
        <w:gridCol w:w="1099"/>
        <w:gridCol w:w="1271"/>
        <w:gridCol w:w="1115"/>
        <w:gridCol w:w="837"/>
        <w:gridCol w:w="1255"/>
        <w:gridCol w:w="1083"/>
        <w:gridCol w:w="1287"/>
        <w:gridCol w:w="1532"/>
      </w:tblGrid>
      <w:tr w:rsidR="008D231D" w:rsidRPr="008D231D" w14:paraId="07EB6AAC" w14:textId="77777777">
        <w:tblPrEx>
          <w:tblCellMar>
            <w:top w:w="0" w:type="dxa"/>
            <w:bottom w:w="0" w:type="dxa"/>
          </w:tblCellMar>
        </w:tblPrEx>
        <w:trPr>
          <w:trHeight w:val="144"/>
        </w:trPr>
        <w:tc>
          <w:tcPr>
            <w:tcW w:w="1443" w:type="dxa"/>
            <w:shd w:val="clear" w:color="auto" w:fill="C0C0C0"/>
            <w:vAlign w:val="center"/>
          </w:tcPr>
          <w:p w14:paraId="36F46CBC"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Tipo de vialidad</w:t>
            </w:r>
          </w:p>
        </w:tc>
        <w:tc>
          <w:tcPr>
            <w:tcW w:w="1068" w:type="dxa"/>
            <w:shd w:val="clear" w:color="auto" w:fill="C0C0C0"/>
            <w:vAlign w:val="center"/>
          </w:tcPr>
          <w:p w14:paraId="59FC2F8D"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Calle</w:t>
            </w:r>
          </w:p>
        </w:tc>
        <w:tc>
          <w:tcPr>
            <w:tcW w:w="1175" w:type="dxa"/>
            <w:shd w:val="clear" w:color="auto" w:fill="C0C0C0"/>
            <w:vAlign w:val="center"/>
          </w:tcPr>
          <w:p w14:paraId="3AB92A76"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Número Exterior</w:t>
            </w:r>
          </w:p>
        </w:tc>
        <w:tc>
          <w:tcPr>
            <w:tcW w:w="1117" w:type="dxa"/>
            <w:shd w:val="clear" w:color="auto" w:fill="C0C0C0"/>
            <w:vAlign w:val="center"/>
          </w:tcPr>
          <w:p w14:paraId="6C9EBC78"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Número interior</w:t>
            </w:r>
          </w:p>
        </w:tc>
        <w:tc>
          <w:tcPr>
            <w:tcW w:w="1293" w:type="dxa"/>
            <w:shd w:val="clear" w:color="auto" w:fill="C0C0C0"/>
            <w:vAlign w:val="center"/>
          </w:tcPr>
          <w:p w14:paraId="20B12C00"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Tipo de asentamiento</w:t>
            </w:r>
          </w:p>
        </w:tc>
        <w:tc>
          <w:tcPr>
            <w:tcW w:w="1134" w:type="dxa"/>
            <w:shd w:val="clear" w:color="auto" w:fill="C0C0C0"/>
            <w:vAlign w:val="center"/>
          </w:tcPr>
          <w:p w14:paraId="47F1BEC3"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Colonia</w:t>
            </w:r>
          </w:p>
        </w:tc>
        <w:tc>
          <w:tcPr>
            <w:tcW w:w="850" w:type="dxa"/>
            <w:shd w:val="clear" w:color="auto" w:fill="C0C0C0"/>
            <w:vAlign w:val="center"/>
          </w:tcPr>
          <w:p w14:paraId="2030129D"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Código Postal</w:t>
            </w:r>
          </w:p>
        </w:tc>
        <w:tc>
          <w:tcPr>
            <w:tcW w:w="1276" w:type="dxa"/>
            <w:shd w:val="clear" w:color="auto" w:fill="C0C0C0"/>
            <w:vAlign w:val="center"/>
          </w:tcPr>
          <w:p w14:paraId="6F46C75B"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Entre calles o Referencias</w:t>
            </w:r>
          </w:p>
        </w:tc>
        <w:tc>
          <w:tcPr>
            <w:tcW w:w="1101" w:type="dxa"/>
            <w:shd w:val="clear" w:color="auto" w:fill="C0C0C0"/>
            <w:vAlign w:val="center"/>
          </w:tcPr>
          <w:p w14:paraId="095AE25A"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Localidad</w:t>
            </w:r>
          </w:p>
        </w:tc>
        <w:tc>
          <w:tcPr>
            <w:tcW w:w="1309" w:type="dxa"/>
            <w:shd w:val="clear" w:color="auto" w:fill="C0C0C0"/>
            <w:vAlign w:val="center"/>
          </w:tcPr>
          <w:p w14:paraId="7EAA4692"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Alcaldía o Municipio</w:t>
            </w:r>
          </w:p>
        </w:tc>
        <w:tc>
          <w:tcPr>
            <w:tcW w:w="1559" w:type="dxa"/>
            <w:shd w:val="clear" w:color="auto" w:fill="C0C0C0"/>
            <w:vAlign w:val="center"/>
          </w:tcPr>
          <w:p w14:paraId="656251DD" w14:textId="77777777" w:rsidR="00147D87" w:rsidRPr="008D231D" w:rsidRDefault="00147D87" w:rsidP="008D231D">
            <w:pPr>
              <w:pStyle w:val="texto0"/>
              <w:spacing w:after="60" w:line="180" w:lineRule="exact"/>
              <w:ind w:firstLine="0"/>
              <w:jc w:val="center"/>
              <w:rPr>
                <w:b/>
                <w:sz w:val="14"/>
                <w:szCs w:val="14"/>
              </w:rPr>
            </w:pPr>
            <w:r w:rsidRPr="008D231D">
              <w:rPr>
                <w:b/>
                <w:sz w:val="14"/>
                <w:szCs w:val="14"/>
              </w:rPr>
              <w:t>Entidad Federativa</w:t>
            </w:r>
          </w:p>
        </w:tc>
      </w:tr>
      <w:tr w:rsidR="008D231D" w:rsidRPr="008D231D" w14:paraId="4CB8F687" w14:textId="77777777">
        <w:tblPrEx>
          <w:tblCellMar>
            <w:top w:w="0" w:type="dxa"/>
            <w:bottom w:w="0" w:type="dxa"/>
          </w:tblCellMar>
        </w:tblPrEx>
        <w:trPr>
          <w:trHeight w:val="144"/>
        </w:trPr>
        <w:tc>
          <w:tcPr>
            <w:tcW w:w="1443" w:type="dxa"/>
            <w:vAlign w:val="center"/>
          </w:tcPr>
          <w:p w14:paraId="6D6804B9"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Avenida</w:t>
            </w:r>
          </w:p>
        </w:tc>
        <w:tc>
          <w:tcPr>
            <w:tcW w:w="1068" w:type="dxa"/>
            <w:vAlign w:val="center"/>
          </w:tcPr>
          <w:p w14:paraId="4A8A2EE8"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Central Guillermo González Camarena</w:t>
            </w:r>
          </w:p>
        </w:tc>
        <w:tc>
          <w:tcPr>
            <w:tcW w:w="1175" w:type="dxa"/>
            <w:vAlign w:val="center"/>
          </w:tcPr>
          <w:p w14:paraId="3236644E"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735</w:t>
            </w:r>
          </w:p>
        </w:tc>
        <w:tc>
          <w:tcPr>
            <w:tcW w:w="1117" w:type="dxa"/>
            <w:vAlign w:val="center"/>
          </w:tcPr>
          <w:p w14:paraId="6BB2DEFF" w14:textId="77777777" w:rsidR="00147D87" w:rsidRPr="008D231D" w:rsidRDefault="00147D87" w:rsidP="008D231D">
            <w:pPr>
              <w:pStyle w:val="texto0"/>
              <w:spacing w:after="60" w:line="180" w:lineRule="exact"/>
              <w:ind w:firstLine="0"/>
              <w:jc w:val="center"/>
              <w:rPr>
                <w:sz w:val="14"/>
                <w:szCs w:val="14"/>
              </w:rPr>
            </w:pPr>
          </w:p>
        </w:tc>
        <w:tc>
          <w:tcPr>
            <w:tcW w:w="1293" w:type="dxa"/>
            <w:vAlign w:val="center"/>
          </w:tcPr>
          <w:p w14:paraId="4821D499"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Colonia</w:t>
            </w:r>
          </w:p>
        </w:tc>
        <w:tc>
          <w:tcPr>
            <w:tcW w:w="1134" w:type="dxa"/>
            <w:vAlign w:val="center"/>
          </w:tcPr>
          <w:p w14:paraId="54E5C414"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Anexo a Residencial Poniente</w:t>
            </w:r>
          </w:p>
        </w:tc>
        <w:tc>
          <w:tcPr>
            <w:tcW w:w="850" w:type="dxa"/>
            <w:vAlign w:val="center"/>
          </w:tcPr>
          <w:p w14:paraId="0DA00C95"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45136</w:t>
            </w:r>
          </w:p>
        </w:tc>
        <w:tc>
          <w:tcPr>
            <w:tcW w:w="1276" w:type="dxa"/>
            <w:vAlign w:val="center"/>
          </w:tcPr>
          <w:p w14:paraId="500F7763"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Servidor Público y Circuito Federalistas Jaliscienses de 1823</w:t>
            </w:r>
          </w:p>
        </w:tc>
        <w:tc>
          <w:tcPr>
            <w:tcW w:w="1101" w:type="dxa"/>
            <w:vAlign w:val="center"/>
          </w:tcPr>
          <w:p w14:paraId="7C63E0D6"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Zapopan</w:t>
            </w:r>
          </w:p>
        </w:tc>
        <w:tc>
          <w:tcPr>
            <w:tcW w:w="1309" w:type="dxa"/>
            <w:vAlign w:val="center"/>
          </w:tcPr>
          <w:p w14:paraId="1EB563B6"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Zapopan</w:t>
            </w:r>
          </w:p>
        </w:tc>
        <w:tc>
          <w:tcPr>
            <w:tcW w:w="1559" w:type="dxa"/>
            <w:vAlign w:val="center"/>
          </w:tcPr>
          <w:p w14:paraId="2FBEFB3C" w14:textId="77777777" w:rsidR="00147D87" w:rsidRPr="008D231D" w:rsidRDefault="00147D87" w:rsidP="008D231D">
            <w:pPr>
              <w:pStyle w:val="texto0"/>
              <w:spacing w:after="60" w:line="180" w:lineRule="exact"/>
              <w:ind w:firstLine="0"/>
              <w:jc w:val="center"/>
              <w:rPr>
                <w:sz w:val="14"/>
                <w:szCs w:val="14"/>
              </w:rPr>
            </w:pPr>
            <w:r w:rsidRPr="008D231D">
              <w:rPr>
                <w:sz w:val="14"/>
                <w:szCs w:val="14"/>
              </w:rPr>
              <w:t>Jalisco</w:t>
            </w:r>
          </w:p>
        </w:tc>
      </w:tr>
    </w:tbl>
    <w:p w14:paraId="6ED668B0" w14:textId="77777777" w:rsidR="00147D87" w:rsidRPr="009A7B7D" w:rsidRDefault="00147D87" w:rsidP="008D231D">
      <w:pPr>
        <w:pStyle w:val="texto0"/>
        <w:spacing w:line="330" w:lineRule="exact"/>
        <w:ind w:left="1710" w:hanging="720"/>
        <w:rPr>
          <w:szCs w:val="14"/>
        </w:rPr>
      </w:pPr>
      <w:r w:rsidRPr="009A7B7D">
        <w:rPr>
          <w:b/>
          <w:szCs w:val="14"/>
        </w:rPr>
        <w:lastRenderedPageBreak/>
        <w:t xml:space="preserve">27. </w:t>
      </w:r>
      <w:r w:rsidRPr="009A7B7D">
        <w:rPr>
          <w:b/>
          <w:szCs w:val="14"/>
        </w:rPr>
        <w:tab/>
      </w:r>
      <w:r w:rsidRPr="009A7B7D">
        <w:rPr>
          <w:szCs w:val="14"/>
        </w:rPr>
        <w:t>Jalisco “5</w:t>
      </w:r>
    </w:p>
    <w:p w14:paraId="327B2B5D" w14:textId="77777777" w:rsidR="00147D87" w:rsidRPr="009A7B7D" w:rsidRDefault="00147D87" w:rsidP="008D231D">
      <w:pPr>
        <w:pStyle w:val="texto0"/>
        <w:spacing w:line="330" w:lineRule="exact"/>
        <w:ind w:left="1710" w:firstLine="0"/>
        <w:rPr>
          <w:szCs w:val="14"/>
        </w:rPr>
      </w:pPr>
      <w:r w:rsidRPr="009A7B7D">
        <w:rPr>
          <w:szCs w:val="14"/>
        </w:rPr>
        <w:t xml:space="preserve">Ubicación de la Sede: </w:t>
      </w:r>
      <w:r w:rsidRPr="009A7B7D">
        <w:rPr>
          <w:b/>
          <w:szCs w:val="14"/>
        </w:rPr>
        <w:t>Jalisco</w:t>
      </w:r>
    </w:p>
    <w:p w14:paraId="3A3B5931" w14:textId="77777777" w:rsidR="00147D87" w:rsidRPr="009A7B7D" w:rsidRDefault="00147D87" w:rsidP="008D231D">
      <w:pPr>
        <w:pStyle w:val="texto0"/>
        <w:spacing w:line="330" w:lineRule="exact"/>
        <w:ind w:left="1710" w:firstLine="0"/>
        <w:rPr>
          <w:szCs w:val="14"/>
        </w:rPr>
      </w:pPr>
      <w:r w:rsidRPr="009A7B7D">
        <w:rPr>
          <w:szCs w:val="14"/>
        </w:rPr>
        <w:t>Domicilio: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8"/>
        <w:gridCol w:w="1051"/>
        <w:gridCol w:w="1156"/>
        <w:gridCol w:w="1099"/>
        <w:gridCol w:w="1271"/>
        <w:gridCol w:w="1115"/>
        <w:gridCol w:w="837"/>
        <w:gridCol w:w="1255"/>
        <w:gridCol w:w="1083"/>
        <w:gridCol w:w="1287"/>
        <w:gridCol w:w="1532"/>
      </w:tblGrid>
      <w:tr w:rsidR="008D231D" w:rsidRPr="008D231D" w14:paraId="3FF5B012" w14:textId="77777777">
        <w:tblPrEx>
          <w:tblCellMar>
            <w:top w:w="0" w:type="dxa"/>
            <w:bottom w:w="0" w:type="dxa"/>
          </w:tblCellMar>
        </w:tblPrEx>
        <w:trPr>
          <w:trHeight w:val="144"/>
        </w:trPr>
        <w:tc>
          <w:tcPr>
            <w:tcW w:w="1443" w:type="dxa"/>
            <w:shd w:val="clear" w:color="auto" w:fill="C0C0C0"/>
            <w:vAlign w:val="center"/>
          </w:tcPr>
          <w:p w14:paraId="11D96E71"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Tipo de vialidad</w:t>
            </w:r>
          </w:p>
        </w:tc>
        <w:tc>
          <w:tcPr>
            <w:tcW w:w="1068" w:type="dxa"/>
            <w:shd w:val="clear" w:color="auto" w:fill="C0C0C0"/>
            <w:vAlign w:val="center"/>
          </w:tcPr>
          <w:p w14:paraId="5D6E9D05"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Calle</w:t>
            </w:r>
          </w:p>
        </w:tc>
        <w:tc>
          <w:tcPr>
            <w:tcW w:w="1175" w:type="dxa"/>
            <w:shd w:val="clear" w:color="auto" w:fill="C0C0C0"/>
            <w:vAlign w:val="center"/>
          </w:tcPr>
          <w:p w14:paraId="778ABCF4"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Número Exterior</w:t>
            </w:r>
          </w:p>
        </w:tc>
        <w:tc>
          <w:tcPr>
            <w:tcW w:w="1117" w:type="dxa"/>
            <w:shd w:val="clear" w:color="auto" w:fill="C0C0C0"/>
            <w:vAlign w:val="center"/>
          </w:tcPr>
          <w:p w14:paraId="207FCB50"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Número interior</w:t>
            </w:r>
          </w:p>
        </w:tc>
        <w:tc>
          <w:tcPr>
            <w:tcW w:w="1293" w:type="dxa"/>
            <w:shd w:val="clear" w:color="auto" w:fill="C0C0C0"/>
            <w:vAlign w:val="center"/>
          </w:tcPr>
          <w:p w14:paraId="61A77A7A"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Tipo de asentamiento</w:t>
            </w:r>
          </w:p>
        </w:tc>
        <w:tc>
          <w:tcPr>
            <w:tcW w:w="1134" w:type="dxa"/>
            <w:shd w:val="clear" w:color="auto" w:fill="C0C0C0"/>
            <w:vAlign w:val="center"/>
          </w:tcPr>
          <w:p w14:paraId="71127FEC"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Colonia</w:t>
            </w:r>
          </w:p>
        </w:tc>
        <w:tc>
          <w:tcPr>
            <w:tcW w:w="850" w:type="dxa"/>
            <w:shd w:val="clear" w:color="auto" w:fill="C0C0C0"/>
            <w:vAlign w:val="center"/>
          </w:tcPr>
          <w:p w14:paraId="6DC26642"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Código Postal</w:t>
            </w:r>
          </w:p>
        </w:tc>
        <w:tc>
          <w:tcPr>
            <w:tcW w:w="1276" w:type="dxa"/>
            <w:shd w:val="clear" w:color="auto" w:fill="C0C0C0"/>
            <w:vAlign w:val="center"/>
          </w:tcPr>
          <w:p w14:paraId="55D9F6F9"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Entre calles o Referencias</w:t>
            </w:r>
          </w:p>
        </w:tc>
        <w:tc>
          <w:tcPr>
            <w:tcW w:w="1101" w:type="dxa"/>
            <w:shd w:val="clear" w:color="auto" w:fill="C0C0C0"/>
            <w:vAlign w:val="center"/>
          </w:tcPr>
          <w:p w14:paraId="25E4982F"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Localidad</w:t>
            </w:r>
          </w:p>
        </w:tc>
        <w:tc>
          <w:tcPr>
            <w:tcW w:w="1309" w:type="dxa"/>
            <w:shd w:val="clear" w:color="auto" w:fill="C0C0C0"/>
            <w:vAlign w:val="center"/>
          </w:tcPr>
          <w:p w14:paraId="4DAF01DD"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Alcaldía o Municipio</w:t>
            </w:r>
          </w:p>
        </w:tc>
        <w:tc>
          <w:tcPr>
            <w:tcW w:w="1559" w:type="dxa"/>
            <w:shd w:val="clear" w:color="auto" w:fill="C0C0C0"/>
            <w:vAlign w:val="center"/>
          </w:tcPr>
          <w:p w14:paraId="4DE75D5E" w14:textId="77777777" w:rsidR="00147D87" w:rsidRPr="008D231D" w:rsidRDefault="00147D87" w:rsidP="00C75336">
            <w:pPr>
              <w:pStyle w:val="texto0"/>
              <w:spacing w:after="60" w:line="320" w:lineRule="exact"/>
              <w:ind w:firstLine="0"/>
              <w:jc w:val="center"/>
              <w:rPr>
                <w:b/>
                <w:sz w:val="14"/>
                <w:szCs w:val="14"/>
              </w:rPr>
            </w:pPr>
            <w:r w:rsidRPr="008D231D">
              <w:rPr>
                <w:b/>
                <w:sz w:val="14"/>
                <w:szCs w:val="14"/>
              </w:rPr>
              <w:t>Entidad Federativa</w:t>
            </w:r>
          </w:p>
        </w:tc>
      </w:tr>
      <w:tr w:rsidR="008D231D" w:rsidRPr="008D231D" w14:paraId="54E2A471" w14:textId="77777777">
        <w:tblPrEx>
          <w:tblCellMar>
            <w:top w:w="0" w:type="dxa"/>
            <w:bottom w:w="0" w:type="dxa"/>
          </w:tblCellMar>
        </w:tblPrEx>
        <w:trPr>
          <w:trHeight w:val="144"/>
        </w:trPr>
        <w:tc>
          <w:tcPr>
            <w:tcW w:w="1443" w:type="dxa"/>
            <w:vAlign w:val="center"/>
          </w:tcPr>
          <w:p w14:paraId="4F7082F9"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Avenida</w:t>
            </w:r>
          </w:p>
        </w:tc>
        <w:tc>
          <w:tcPr>
            <w:tcW w:w="1068" w:type="dxa"/>
            <w:vAlign w:val="center"/>
          </w:tcPr>
          <w:p w14:paraId="2A5D5B88"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De las Américas</w:t>
            </w:r>
          </w:p>
        </w:tc>
        <w:tc>
          <w:tcPr>
            <w:tcW w:w="1175" w:type="dxa"/>
            <w:vAlign w:val="center"/>
          </w:tcPr>
          <w:p w14:paraId="5A8D3869"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833</w:t>
            </w:r>
          </w:p>
        </w:tc>
        <w:tc>
          <w:tcPr>
            <w:tcW w:w="1117" w:type="dxa"/>
            <w:vAlign w:val="center"/>
          </w:tcPr>
          <w:p w14:paraId="76BA0356"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Planta baja</w:t>
            </w:r>
          </w:p>
        </w:tc>
        <w:tc>
          <w:tcPr>
            <w:tcW w:w="1293" w:type="dxa"/>
            <w:vAlign w:val="center"/>
          </w:tcPr>
          <w:p w14:paraId="591EE95C"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Colonia</w:t>
            </w:r>
          </w:p>
        </w:tc>
        <w:tc>
          <w:tcPr>
            <w:tcW w:w="1134" w:type="dxa"/>
            <w:vAlign w:val="center"/>
          </w:tcPr>
          <w:p w14:paraId="11EB56A6"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Jesús García</w:t>
            </w:r>
          </w:p>
        </w:tc>
        <w:tc>
          <w:tcPr>
            <w:tcW w:w="850" w:type="dxa"/>
            <w:vAlign w:val="center"/>
          </w:tcPr>
          <w:p w14:paraId="0C67EB2F"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44656</w:t>
            </w:r>
          </w:p>
        </w:tc>
        <w:tc>
          <w:tcPr>
            <w:tcW w:w="1276" w:type="dxa"/>
            <w:vAlign w:val="center"/>
          </w:tcPr>
          <w:p w14:paraId="09B62B7E"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Florencia y Colomos</w:t>
            </w:r>
          </w:p>
        </w:tc>
        <w:tc>
          <w:tcPr>
            <w:tcW w:w="1101" w:type="dxa"/>
            <w:vAlign w:val="center"/>
          </w:tcPr>
          <w:p w14:paraId="2CAF23D7"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Guadalajara</w:t>
            </w:r>
          </w:p>
        </w:tc>
        <w:tc>
          <w:tcPr>
            <w:tcW w:w="1309" w:type="dxa"/>
            <w:vAlign w:val="center"/>
          </w:tcPr>
          <w:p w14:paraId="55FEC93E"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Guadalajara</w:t>
            </w:r>
          </w:p>
        </w:tc>
        <w:tc>
          <w:tcPr>
            <w:tcW w:w="1559" w:type="dxa"/>
            <w:vAlign w:val="center"/>
          </w:tcPr>
          <w:p w14:paraId="2A7B3D12" w14:textId="77777777" w:rsidR="00147D87" w:rsidRPr="008D231D" w:rsidRDefault="00147D87" w:rsidP="00C75336">
            <w:pPr>
              <w:pStyle w:val="texto0"/>
              <w:spacing w:after="60" w:line="320" w:lineRule="exact"/>
              <w:ind w:firstLine="0"/>
              <w:jc w:val="center"/>
              <w:rPr>
                <w:sz w:val="14"/>
                <w:szCs w:val="14"/>
              </w:rPr>
            </w:pPr>
            <w:r w:rsidRPr="008D231D">
              <w:rPr>
                <w:sz w:val="14"/>
                <w:szCs w:val="14"/>
              </w:rPr>
              <w:t>Jalisco</w:t>
            </w:r>
          </w:p>
        </w:tc>
      </w:tr>
    </w:tbl>
    <w:p w14:paraId="15CB7924" w14:textId="77777777" w:rsidR="00147D87" w:rsidRPr="009A7B7D" w:rsidRDefault="00147D87" w:rsidP="008D231D">
      <w:pPr>
        <w:pStyle w:val="texto0"/>
        <w:spacing w:line="330" w:lineRule="exact"/>
        <w:rPr>
          <w:szCs w:val="14"/>
        </w:rPr>
      </w:pPr>
    </w:p>
    <w:p w14:paraId="39F317BF" w14:textId="77777777" w:rsidR="00147D87" w:rsidRDefault="00147D87" w:rsidP="008D231D">
      <w:pPr>
        <w:pStyle w:val="texto0"/>
        <w:spacing w:line="330" w:lineRule="exact"/>
        <w:ind w:left="1980" w:hanging="990"/>
        <w:rPr>
          <w:szCs w:val="14"/>
        </w:rPr>
      </w:pPr>
      <w:r w:rsidRPr="009A7B7D">
        <w:rPr>
          <w:b/>
          <w:szCs w:val="14"/>
        </w:rPr>
        <w:t xml:space="preserve">28. </w:t>
      </w:r>
      <w:r w:rsidRPr="009A7B7D">
        <w:rPr>
          <w:szCs w:val="14"/>
        </w:rPr>
        <w:t xml:space="preserve">a </w:t>
      </w:r>
      <w:r w:rsidRPr="009A7B7D">
        <w:rPr>
          <w:b/>
          <w:szCs w:val="14"/>
        </w:rPr>
        <w:t>52.</w:t>
      </w:r>
      <w:r w:rsidRPr="008D231D">
        <w:rPr>
          <w:b/>
          <w:szCs w:val="14"/>
        </w:rPr>
        <w:tab/>
        <w:t>…</w:t>
      </w:r>
    </w:p>
    <w:p w14:paraId="3DE2C0AB" w14:textId="77777777" w:rsidR="00147D87" w:rsidRPr="009A7B7D" w:rsidRDefault="00147D87" w:rsidP="008D231D">
      <w:pPr>
        <w:pStyle w:val="texto0"/>
        <w:spacing w:line="330" w:lineRule="exact"/>
        <w:ind w:left="1710" w:hanging="720"/>
        <w:rPr>
          <w:szCs w:val="14"/>
        </w:rPr>
      </w:pPr>
      <w:r w:rsidRPr="009A7B7D">
        <w:rPr>
          <w:b/>
          <w:szCs w:val="14"/>
        </w:rPr>
        <w:t xml:space="preserve">53. </w:t>
      </w:r>
      <w:r w:rsidRPr="009A7B7D">
        <w:rPr>
          <w:b/>
          <w:szCs w:val="14"/>
        </w:rPr>
        <w:tab/>
      </w:r>
      <w:r w:rsidRPr="009A7B7D">
        <w:rPr>
          <w:szCs w:val="14"/>
        </w:rPr>
        <w:t>Tamaulipas “3”</w:t>
      </w:r>
    </w:p>
    <w:p w14:paraId="3F06487F" w14:textId="77777777" w:rsidR="00147D87" w:rsidRPr="009A7B7D" w:rsidRDefault="00147D87" w:rsidP="008D231D">
      <w:pPr>
        <w:pStyle w:val="texto0"/>
        <w:spacing w:line="330" w:lineRule="exact"/>
        <w:ind w:left="1710" w:firstLine="0"/>
        <w:rPr>
          <w:szCs w:val="14"/>
        </w:rPr>
      </w:pPr>
      <w:r w:rsidRPr="009A7B7D">
        <w:rPr>
          <w:szCs w:val="14"/>
        </w:rPr>
        <w:t xml:space="preserve">Ubicación de la Sede: </w:t>
      </w:r>
      <w:r w:rsidRPr="009A7B7D">
        <w:rPr>
          <w:b/>
          <w:szCs w:val="14"/>
        </w:rPr>
        <w:t>Nuevo Laredo</w:t>
      </w:r>
    </w:p>
    <w:p w14:paraId="6F180AF2" w14:textId="77777777" w:rsidR="00147D87" w:rsidRPr="009A7B7D" w:rsidRDefault="00147D87" w:rsidP="008D231D">
      <w:pPr>
        <w:pStyle w:val="texto0"/>
        <w:spacing w:line="330" w:lineRule="exact"/>
        <w:ind w:left="1710" w:firstLine="0"/>
        <w:rPr>
          <w:szCs w:val="14"/>
        </w:rPr>
      </w:pPr>
      <w:r w:rsidRPr="009A7B7D">
        <w:rPr>
          <w:szCs w:val="14"/>
        </w:rPr>
        <w:t>Domicilio: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8"/>
        <w:gridCol w:w="1051"/>
        <w:gridCol w:w="1156"/>
        <w:gridCol w:w="1099"/>
        <w:gridCol w:w="1271"/>
        <w:gridCol w:w="1115"/>
        <w:gridCol w:w="837"/>
        <w:gridCol w:w="1255"/>
        <w:gridCol w:w="1083"/>
        <w:gridCol w:w="1287"/>
        <w:gridCol w:w="1532"/>
      </w:tblGrid>
      <w:tr w:rsidR="008D231D" w:rsidRPr="008D231D" w14:paraId="3E66DAF5" w14:textId="77777777">
        <w:tblPrEx>
          <w:tblCellMar>
            <w:top w:w="0" w:type="dxa"/>
            <w:bottom w:w="0" w:type="dxa"/>
          </w:tblCellMar>
        </w:tblPrEx>
        <w:trPr>
          <w:trHeight w:val="144"/>
        </w:trPr>
        <w:tc>
          <w:tcPr>
            <w:tcW w:w="1443" w:type="dxa"/>
            <w:shd w:val="clear" w:color="auto" w:fill="C0C0C0"/>
            <w:vAlign w:val="center"/>
          </w:tcPr>
          <w:p w14:paraId="0868EBD1"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Tipo de vialidad</w:t>
            </w:r>
          </w:p>
        </w:tc>
        <w:tc>
          <w:tcPr>
            <w:tcW w:w="1068" w:type="dxa"/>
            <w:shd w:val="clear" w:color="auto" w:fill="C0C0C0"/>
            <w:vAlign w:val="center"/>
          </w:tcPr>
          <w:p w14:paraId="3C2B54D1"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Calle</w:t>
            </w:r>
          </w:p>
        </w:tc>
        <w:tc>
          <w:tcPr>
            <w:tcW w:w="1175" w:type="dxa"/>
            <w:shd w:val="clear" w:color="auto" w:fill="C0C0C0"/>
            <w:vAlign w:val="center"/>
          </w:tcPr>
          <w:p w14:paraId="6561AFFD"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Número Exterior</w:t>
            </w:r>
          </w:p>
        </w:tc>
        <w:tc>
          <w:tcPr>
            <w:tcW w:w="1117" w:type="dxa"/>
            <w:shd w:val="clear" w:color="auto" w:fill="C0C0C0"/>
            <w:vAlign w:val="center"/>
          </w:tcPr>
          <w:p w14:paraId="6FA9637C"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Número interior</w:t>
            </w:r>
          </w:p>
        </w:tc>
        <w:tc>
          <w:tcPr>
            <w:tcW w:w="1293" w:type="dxa"/>
            <w:shd w:val="clear" w:color="auto" w:fill="C0C0C0"/>
            <w:vAlign w:val="center"/>
          </w:tcPr>
          <w:p w14:paraId="505A7F70"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Tipo de asentamiento</w:t>
            </w:r>
          </w:p>
        </w:tc>
        <w:tc>
          <w:tcPr>
            <w:tcW w:w="1134" w:type="dxa"/>
            <w:shd w:val="clear" w:color="auto" w:fill="C0C0C0"/>
            <w:vAlign w:val="center"/>
          </w:tcPr>
          <w:p w14:paraId="3AD7BB0A"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Colonia</w:t>
            </w:r>
          </w:p>
        </w:tc>
        <w:tc>
          <w:tcPr>
            <w:tcW w:w="850" w:type="dxa"/>
            <w:shd w:val="clear" w:color="auto" w:fill="C0C0C0"/>
            <w:vAlign w:val="center"/>
          </w:tcPr>
          <w:p w14:paraId="012F2FD3"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Código Postal</w:t>
            </w:r>
          </w:p>
        </w:tc>
        <w:tc>
          <w:tcPr>
            <w:tcW w:w="1276" w:type="dxa"/>
            <w:shd w:val="clear" w:color="auto" w:fill="C0C0C0"/>
            <w:vAlign w:val="center"/>
          </w:tcPr>
          <w:p w14:paraId="0A4A662E"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Entre calles o Referencias</w:t>
            </w:r>
          </w:p>
        </w:tc>
        <w:tc>
          <w:tcPr>
            <w:tcW w:w="1101" w:type="dxa"/>
            <w:shd w:val="clear" w:color="auto" w:fill="C0C0C0"/>
            <w:vAlign w:val="center"/>
          </w:tcPr>
          <w:p w14:paraId="633EB2D9"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Localidad</w:t>
            </w:r>
          </w:p>
        </w:tc>
        <w:tc>
          <w:tcPr>
            <w:tcW w:w="1309" w:type="dxa"/>
            <w:shd w:val="clear" w:color="auto" w:fill="C0C0C0"/>
            <w:vAlign w:val="center"/>
          </w:tcPr>
          <w:p w14:paraId="776026C0"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Alcaldía o Municipio</w:t>
            </w:r>
          </w:p>
        </w:tc>
        <w:tc>
          <w:tcPr>
            <w:tcW w:w="1559" w:type="dxa"/>
            <w:shd w:val="clear" w:color="auto" w:fill="C0C0C0"/>
            <w:vAlign w:val="center"/>
          </w:tcPr>
          <w:p w14:paraId="3EBB9C45" w14:textId="77777777" w:rsidR="00147D87" w:rsidRPr="008D231D" w:rsidRDefault="00147D87" w:rsidP="00C75336">
            <w:pPr>
              <w:pStyle w:val="texto0"/>
              <w:spacing w:after="60" w:line="324" w:lineRule="exact"/>
              <w:ind w:firstLine="0"/>
              <w:jc w:val="center"/>
              <w:rPr>
                <w:b/>
                <w:sz w:val="14"/>
                <w:szCs w:val="14"/>
              </w:rPr>
            </w:pPr>
            <w:r w:rsidRPr="008D231D">
              <w:rPr>
                <w:b/>
                <w:sz w:val="14"/>
                <w:szCs w:val="14"/>
              </w:rPr>
              <w:t>Entidad Federativa</w:t>
            </w:r>
          </w:p>
        </w:tc>
      </w:tr>
      <w:tr w:rsidR="008D231D" w:rsidRPr="008D231D" w14:paraId="5671400A" w14:textId="77777777">
        <w:tblPrEx>
          <w:tblCellMar>
            <w:top w:w="0" w:type="dxa"/>
            <w:bottom w:w="0" w:type="dxa"/>
          </w:tblCellMar>
        </w:tblPrEx>
        <w:trPr>
          <w:trHeight w:val="144"/>
        </w:trPr>
        <w:tc>
          <w:tcPr>
            <w:tcW w:w="1443" w:type="dxa"/>
            <w:vAlign w:val="center"/>
          </w:tcPr>
          <w:p w14:paraId="0AEAC552"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Avenida</w:t>
            </w:r>
          </w:p>
        </w:tc>
        <w:tc>
          <w:tcPr>
            <w:tcW w:w="1068" w:type="dxa"/>
            <w:vAlign w:val="center"/>
          </w:tcPr>
          <w:p w14:paraId="6BA085DF"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Ocampo</w:t>
            </w:r>
          </w:p>
        </w:tc>
        <w:tc>
          <w:tcPr>
            <w:tcW w:w="1175" w:type="dxa"/>
            <w:vAlign w:val="center"/>
          </w:tcPr>
          <w:p w14:paraId="083CA6DD"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101</w:t>
            </w:r>
          </w:p>
        </w:tc>
        <w:tc>
          <w:tcPr>
            <w:tcW w:w="1117" w:type="dxa"/>
            <w:vAlign w:val="center"/>
          </w:tcPr>
          <w:p w14:paraId="19DA2083"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Piso 3</w:t>
            </w:r>
          </w:p>
        </w:tc>
        <w:tc>
          <w:tcPr>
            <w:tcW w:w="1293" w:type="dxa"/>
            <w:vAlign w:val="center"/>
          </w:tcPr>
          <w:p w14:paraId="601E0C37"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Colonia</w:t>
            </w:r>
          </w:p>
        </w:tc>
        <w:tc>
          <w:tcPr>
            <w:tcW w:w="1134" w:type="dxa"/>
            <w:vAlign w:val="center"/>
          </w:tcPr>
          <w:p w14:paraId="7BC796E2"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Sector Centro</w:t>
            </w:r>
          </w:p>
        </w:tc>
        <w:tc>
          <w:tcPr>
            <w:tcW w:w="850" w:type="dxa"/>
            <w:vAlign w:val="center"/>
          </w:tcPr>
          <w:p w14:paraId="32F45470"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88000</w:t>
            </w:r>
          </w:p>
        </w:tc>
        <w:tc>
          <w:tcPr>
            <w:tcW w:w="1276" w:type="dxa"/>
            <w:vAlign w:val="center"/>
          </w:tcPr>
          <w:p w14:paraId="62581B96"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Esquina 15 de Junio</w:t>
            </w:r>
          </w:p>
        </w:tc>
        <w:tc>
          <w:tcPr>
            <w:tcW w:w="1101" w:type="dxa"/>
            <w:vAlign w:val="center"/>
          </w:tcPr>
          <w:p w14:paraId="69272D98"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Nuevo Laredo</w:t>
            </w:r>
          </w:p>
        </w:tc>
        <w:tc>
          <w:tcPr>
            <w:tcW w:w="1309" w:type="dxa"/>
            <w:vAlign w:val="center"/>
          </w:tcPr>
          <w:p w14:paraId="1F0D13D6"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Nuevo Laredo</w:t>
            </w:r>
          </w:p>
        </w:tc>
        <w:tc>
          <w:tcPr>
            <w:tcW w:w="1559" w:type="dxa"/>
            <w:vAlign w:val="center"/>
          </w:tcPr>
          <w:p w14:paraId="53BEB6A2" w14:textId="77777777" w:rsidR="00147D87" w:rsidRPr="008D231D" w:rsidRDefault="00147D87" w:rsidP="00C75336">
            <w:pPr>
              <w:pStyle w:val="texto0"/>
              <w:spacing w:after="60" w:line="324" w:lineRule="exact"/>
              <w:ind w:firstLine="0"/>
              <w:jc w:val="center"/>
              <w:rPr>
                <w:sz w:val="14"/>
                <w:szCs w:val="14"/>
              </w:rPr>
            </w:pPr>
            <w:r w:rsidRPr="008D231D">
              <w:rPr>
                <w:sz w:val="14"/>
                <w:szCs w:val="14"/>
              </w:rPr>
              <w:t>Tamaulipas</w:t>
            </w:r>
          </w:p>
        </w:tc>
      </w:tr>
    </w:tbl>
    <w:p w14:paraId="51B29BA5" w14:textId="77777777" w:rsidR="00147D87" w:rsidRPr="009A7B7D" w:rsidRDefault="00147D87" w:rsidP="008D231D">
      <w:pPr>
        <w:pStyle w:val="texto0"/>
        <w:spacing w:line="330" w:lineRule="exact"/>
        <w:rPr>
          <w:szCs w:val="14"/>
        </w:rPr>
      </w:pPr>
    </w:p>
    <w:p w14:paraId="4C09E4E1" w14:textId="77777777" w:rsidR="00147D87" w:rsidRDefault="00147D87" w:rsidP="008D231D">
      <w:pPr>
        <w:pStyle w:val="texto0"/>
        <w:tabs>
          <w:tab w:val="left" w:pos="1980"/>
        </w:tabs>
        <w:spacing w:line="330" w:lineRule="exact"/>
        <w:ind w:left="1710" w:hanging="720"/>
        <w:rPr>
          <w:szCs w:val="14"/>
        </w:rPr>
      </w:pPr>
      <w:r w:rsidRPr="009A7B7D">
        <w:rPr>
          <w:b/>
          <w:szCs w:val="14"/>
        </w:rPr>
        <w:t xml:space="preserve">54. </w:t>
      </w:r>
      <w:r w:rsidRPr="009A7B7D">
        <w:rPr>
          <w:szCs w:val="14"/>
        </w:rPr>
        <w:t xml:space="preserve">a </w:t>
      </w:r>
      <w:r w:rsidRPr="009A7B7D">
        <w:rPr>
          <w:b/>
          <w:szCs w:val="14"/>
        </w:rPr>
        <w:t>67.</w:t>
      </w:r>
      <w:r w:rsidRPr="009A7B7D">
        <w:rPr>
          <w:szCs w:val="14"/>
        </w:rPr>
        <w:t xml:space="preserve"> </w:t>
      </w:r>
      <w:r w:rsidRPr="009A7B7D">
        <w:rPr>
          <w:szCs w:val="14"/>
        </w:rPr>
        <w:tab/>
      </w:r>
      <w:r w:rsidRPr="008D231D">
        <w:rPr>
          <w:b/>
          <w:szCs w:val="14"/>
        </w:rPr>
        <w:t>…</w:t>
      </w:r>
    </w:p>
    <w:p w14:paraId="329E60B5" w14:textId="77777777" w:rsidR="00147D87" w:rsidRDefault="00147D87" w:rsidP="008D231D">
      <w:pPr>
        <w:pStyle w:val="texto0"/>
        <w:spacing w:line="330" w:lineRule="exact"/>
        <w:ind w:left="1080" w:hanging="792"/>
        <w:rPr>
          <w:szCs w:val="14"/>
        </w:rPr>
      </w:pPr>
      <w:r w:rsidRPr="009A7B7D">
        <w:rPr>
          <w:b/>
          <w:szCs w:val="14"/>
        </w:rPr>
        <w:t>VIII. a IX.</w:t>
      </w:r>
      <w:r w:rsidRPr="009A7B7D">
        <w:rPr>
          <w:b/>
          <w:szCs w:val="14"/>
        </w:rPr>
        <w:tab/>
      </w:r>
      <w:r w:rsidRPr="008D231D">
        <w:rPr>
          <w:b/>
          <w:szCs w:val="14"/>
        </w:rPr>
        <w:t>…</w:t>
      </w:r>
    </w:p>
    <w:p w14:paraId="00F0D8D9" w14:textId="77777777" w:rsidR="00147D87" w:rsidRDefault="00147D87" w:rsidP="008D231D">
      <w:pPr>
        <w:pStyle w:val="texto0"/>
        <w:spacing w:line="330" w:lineRule="exact"/>
        <w:rPr>
          <w:color w:val="000000"/>
        </w:rPr>
      </w:pPr>
      <w:r w:rsidRPr="009A7B7D">
        <w:rPr>
          <w:color w:val="000000"/>
        </w:rPr>
        <w:t>Atentamente.</w:t>
      </w:r>
    </w:p>
    <w:p w14:paraId="32BBAF2F" w14:textId="77777777" w:rsidR="00A81D62" w:rsidRDefault="00147D87" w:rsidP="008D231D">
      <w:pPr>
        <w:pStyle w:val="texto0"/>
        <w:spacing w:line="330" w:lineRule="exact"/>
        <w:rPr>
          <w:color w:val="000000"/>
        </w:rPr>
      </w:pPr>
      <w:r w:rsidRPr="009A7B7D">
        <w:rPr>
          <w:color w:val="000000"/>
        </w:rPr>
        <w:t>Ciudad de México, a 10 de octubre de 2023.</w:t>
      </w:r>
      <w:r w:rsidR="008D231D">
        <w:rPr>
          <w:color w:val="000000"/>
        </w:rPr>
        <w:t xml:space="preserve">- </w:t>
      </w:r>
      <w:r w:rsidRPr="009A7B7D">
        <w:t>En suplencia por ausencia del Jefe del Servicio de Administración Tributaria, con fundamento en el artículo 4, primer párrafo del Reglamento Interior del Servicio de Administración Tributaria, firma el Administrador Genera</w:t>
      </w:r>
      <w:r w:rsidR="008D231D">
        <w:t xml:space="preserve">l Jurídico, </w:t>
      </w:r>
      <w:r w:rsidRPr="009A7B7D">
        <w:rPr>
          <w:color w:val="000000"/>
        </w:rPr>
        <w:t xml:space="preserve">Lic. </w:t>
      </w:r>
      <w:r w:rsidR="008D231D" w:rsidRPr="008D231D">
        <w:rPr>
          <w:b/>
          <w:color w:val="000000"/>
        </w:rPr>
        <w:t>Ricardo Carrasco Varona</w:t>
      </w:r>
      <w:r w:rsidR="008D231D">
        <w:rPr>
          <w:color w:val="000000"/>
        </w:rPr>
        <w:t>.- Rúbrica.</w:t>
      </w:r>
    </w:p>
    <w:p w14:paraId="653C7A4F" w14:textId="77777777" w:rsidR="00B515AD" w:rsidRDefault="00B515AD" w:rsidP="008D231D">
      <w:pPr>
        <w:pStyle w:val="texto0"/>
        <w:spacing w:line="330" w:lineRule="exact"/>
        <w:rPr>
          <w:color w:val="000000"/>
        </w:rPr>
        <w:sectPr w:rsidR="00B515AD" w:rsidSect="008D231D">
          <w:headerReference w:type="even" r:id="rId9"/>
          <w:headerReference w:type="default" r:id="rId10"/>
          <w:pgSz w:w="15840" w:h="12240" w:orient="landscape"/>
          <w:pgMar w:top="1699" w:right="1152" w:bottom="1699" w:left="1296" w:header="706" w:footer="706" w:gutter="0"/>
          <w:cols w:space="708"/>
          <w:docGrid w:linePitch="326"/>
        </w:sectPr>
      </w:pPr>
    </w:p>
    <w:p w14:paraId="5C2D250B" w14:textId="77777777" w:rsidR="00B515AD" w:rsidRPr="0084733D" w:rsidRDefault="00B515AD" w:rsidP="00417269">
      <w:pPr>
        <w:pStyle w:val="Titulo1"/>
        <w:rPr>
          <w:rFonts w:cs="Times New Roman"/>
        </w:rPr>
      </w:pPr>
      <w:r w:rsidRPr="0084733D">
        <w:rPr>
          <w:rFonts w:cs="Times New Roman"/>
        </w:rPr>
        <w:lastRenderedPageBreak/>
        <w:t>CIRCULAR Modificatoria 3/23 de la Única de Seguros y Fianzas.</w:t>
      </w:r>
    </w:p>
    <w:p w14:paraId="4AF2EE4A" w14:textId="77777777" w:rsidR="00B515AD" w:rsidRPr="0084733D" w:rsidRDefault="00B515AD" w:rsidP="00417269">
      <w:pPr>
        <w:pStyle w:val="Titulo2"/>
      </w:pPr>
      <w:r w:rsidRPr="0084733D">
        <w:t>Al margen un sello con el Escudo Nacional, que dice: Estados Unidos Mexicanos.- HACIENDA.- Secretaría de Hacienda y Crédito Público.- Comisión Nacional de Seguros y Fianzas.</w:t>
      </w:r>
    </w:p>
    <w:p w14:paraId="64AC57CF" w14:textId="77777777" w:rsidR="00B515AD" w:rsidRPr="007A391D" w:rsidRDefault="00B515AD" w:rsidP="000919FF">
      <w:pPr>
        <w:pStyle w:val="ANOTACION"/>
        <w:spacing w:after="80" w:line="214" w:lineRule="exact"/>
      </w:pPr>
      <w:r w:rsidRPr="007A391D">
        <w:t>CIRCULAR MODIFICATORIA 3/23 DE LA ÚNICA DE SEGUROS Y FIANZAS</w:t>
      </w:r>
    </w:p>
    <w:p w14:paraId="42B1929D" w14:textId="77777777" w:rsidR="00B515AD" w:rsidRPr="007A391D" w:rsidRDefault="00B515AD" w:rsidP="000919FF">
      <w:pPr>
        <w:pStyle w:val="ANOTACION"/>
        <w:spacing w:after="80" w:line="214" w:lineRule="exact"/>
      </w:pPr>
      <w:r w:rsidRPr="007A391D">
        <w:t>(Capítulo 5.6.)</w:t>
      </w:r>
    </w:p>
    <w:p w14:paraId="315278E3" w14:textId="77777777" w:rsidR="00B515AD" w:rsidRPr="007A391D" w:rsidRDefault="00B515AD" w:rsidP="000919FF">
      <w:pPr>
        <w:pStyle w:val="Texto"/>
        <w:spacing w:after="80" w:line="214" w:lineRule="exact"/>
        <w:rPr>
          <w:color w:val="000000"/>
        </w:rPr>
      </w:pPr>
      <w:r w:rsidRPr="007A391D">
        <w:rPr>
          <w:color w:val="000000"/>
        </w:rPr>
        <w:t>La Comisión Nacional de Seguros y Fianzas, con fundamento en lo dispuesto en los artículos 366,</w:t>
      </w:r>
      <w:r w:rsidR="0084733D">
        <w:rPr>
          <w:color w:val="000000"/>
        </w:rPr>
        <w:t xml:space="preserve"> </w:t>
      </w:r>
      <w:r w:rsidRPr="007A391D">
        <w:rPr>
          <w:color w:val="000000"/>
        </w:rPr>
        <w:t>fracción II, 367, fracciones I y II, 369, fracción I, 372, fracciones VI y XLII, 373 y 381 de la Ley de Instituciones de Seguros y de Fianzas, y:</w:t>
      </w:r>
    </w:p>
    <w:p w14:paraId="43F46CDD" w14:textId="77777777" w:rsidR="00B515AD" w:rsidRPr="007A391D" w:rsidRDefault="00B515AD" w:rsidP="000919FF">
      <w:pPr>
        <w:pStyle w:val="ANOTACION"/>
        <w:spacing w:after="80" w:line="214" w:lineRule="exact"/>
      </w:pPr>
      <w:r w:rsidRPr="007A391D">
        <w:t>CONSIDERANDO</w:t>
      </w:r>
    </w:p>
    <w:p w14:paraId="1301304E" w14:textId="77777777" w:rsidR="00B515AD" w:rsidRPr="007A391D" w:rsidRDefault="00B515AD" w:rsidP="000919FF">
      <w:pPr>
        <w:pStyle w:val="Texto"/>
        <w:spacing w:after="80" w:line="214" w:lineRule="exact"/>
      </w:pPr>
      <w:r w:rsidRPr="007A391D">
        <w:t>Que las instituciones de seguros que aseguran riesgos de naturaleza catastrófica deben constituir la reserva de riesgos catastróficos a fin de contar con los recursos suficientes para hacer frente, con un alto grado de certidumbre, a las obligaciones derivadas de los contratos de seguros, ante eventos extraordinarios.</w:t>
      </w:r>
    </w:p>
    <w:p w14:paraId="2FA6E7E5" w14:textId="77777777" w:rsidR="00B515AD" w:rsidRPr="007A391D" w:rsidRDefault="00B515AD" w:rsidP="000919FF">
      <w:pPr>
        <w:pStyle w:val="Texto"/>
        <w:spacing w:after="80" w:line="214" w:lineRule="exact"/>
      </w:pPr>
      <w:r w:rsidRPr="007A391D">
        <w:rPr>
          <w:color w:val="000000"/>
        </w:rPr>
        <w:t>Que en las Disposiciones 5.6.1. a 5.6.6. del Capítulo 5.6 de la Circular Única de Seguros y Fianzas (CUSF), se establece que al saldo de la reserva de riesgos catastróficos constituida en moneda extranjera, se le adicionarán, mensualmente, los correspondientes productos financieros determinados con base en la media aritmética de la tasa London InterBank Offered Rate (LIBOR) a 30 días, la cual es publicada por la Intercontinental Exchange Benchmark Administration, institución autorizada y regulada por la Financial Conduct Authority (FCA) del Reino Unido</w:t>
      </w:r>
      <w:r w:rsidRPr="007A391D">
        <w:t>.</w:t>
      </w:r>
    </w:p>
    <w:p w14:paraId="311B0194" w14:textId="77777777" w:rsidR="00B515AD" w:rsidRPr="007A391D" w:rsidRDefault="00B515AD" w:rsidP="000919FF">
      <w:pPr>
        <w:pStyle w:val="Texto"/>
        <w:spacing w:after="80" w:line="214" w:lineRule="exact"/>
        <w:rPr>
          <w:color w:val="000000"/>
        </w:rPr>
      </w:pPr>
      <w:r w:rsidRPr="007A391D">
        <w:rPr>
          <w:color w:val="000000"/>
        </w:rPr>
        <w:t>En virtud de que el citado organismo encargado del cálculo y publicación de la tasa LIBOR ha determinado su desaparición</w:t>
      </w:r>
      <w:r w:rsidRPr="000919FF">
        <w:rPr>
          <w:szCs w:val="16"/>
          <w:vertAlign w:val="superscript"/>
        </w:rPr>
        <w:footnoteReference w:id="1"/>
      </w:r>
      <w:r w:rsidRPr="007A391D">
        <w:rPr>
          <w:color w:val="000000"/>
        </w:rPr>
        <w:t>, y en atención a las recomendaciones del Banco de Pagos Internacionales (BIS por sus siglas en inglés) y del Comité de Estabilidad Financiera (FSB por sus siglas en inglés), se hace necesario actualizar las referidas Disposiciones 5.6.1. a 5.6.6. a fin de establecer como nuevo parámetro de referencia a la tasa Secured Overnight Financing Rate (SOFR) dada a conocer por el Banco Federal de la Reserva de Nueva York (Federal Reserve Bank of New York).</w:t>
      </w:r>
    </w:p>
    <w:p w14:paraId="741845E2" w14:textId="77777777" w:rsidR="00B515AD" w:rsidRPr="007A391D" w:rsidRDefault="00B515AD" w:rsidP="000919FF">
      <w:pPr>
        <w:pStyle w:val="Texto"/>
        <w:spacing w:after="80" w:line="214" w:lineRule="exact"/>
        <w:rPr>
          <w:color w:val="000000"/>
        </w:rPr>
      </w:pPr>
      <w:r w:rsidRPr="007A391D">
        <w:rPr>
          <w:color w:val="000000"/>
        </w:rPr>
        <w:t>Por lo anteriormente expuesto, la Comisión Nacional de Seguros y Fianzas ha resuelto expedir la siguiente modificación a la Circular Única de Seguros y Fianzas en los siguientes términos:</w:t>
      </w:r>
    </w:p>
    <w:p w14:paraId="623DD501" w14:textId="77777777" w:rsidR="00B515AD" w:rsidRPr="007A391D" w:rsidRDefault="00B515AD" w:rsidP="000919FF">
      <w:pPr>
        <w:pStyle w:val="ANOTACION"/>
        <w:spacing w:after="80" w:line="214" w:lineRule="exact"/>
      </w:pPr>
      <w:r w:rsidRPr="007A391D">
        <w:t>CIRCULAR MODIFICATORIA 3/23 DE LA ÚNICA DE SEGUROS Y FIANZAS</w:t>
      </w:r>
    </w:p>
    <w:p w14:paraId="79216266" w14:textId="77777777" w:rsidR="00B515AD" w:rsidRPr="007A391D" w:rsidRDefault="00B515AD" w:rsidP="000919FF">
      <w:pPr>
        <w:pStyle w:val="ANOTACION"/>
        <w:spacing w:after="80" w:line="214" w:lineRule="exact"/>
      </w:pPr>
      <w:r w:rsidRPr="007A391D">
        <w:t>(Capítulo 5.6.)</w:t>
      </w:r>
    </w:p>
    <w:p w14:paraId="10C8D77F" w14:textId="77777777" w:rsidR="00B515AD" w:rsidRPr="007A391D" w:rsidRDefault="00B515AD" w:rsidP="000919FF">
      <w:pPr>
        <w:pStyle w:val="Texto"/>
        <w:spacing w:after="80" w:line="214" w:lineRule="exact"/>
        <w:rPr>
          <w:color w:val="000000"/>
        </w:rPr>
      </w:pPr>
      <w:r w:rsidRPr="007A391D">
        <w:rPr>
          <w:b/>
          <w:color w:val="000000"/>
        </w:rPr>
        <w:t>ÚNICA</w:t>
      </w:r>
      <w:r w:rsidRPr="007A391D">
        <w:rPr>
          <w:b/>
        </w:rPr>
        <w:t>. -</w:t>
      </w:r>
      <w:r>
        <w:t xml:space="preserve"> </w:t>
      </w:r>
      <w:r w:rsidRPr="007A391D">
        <w:t xml:space="preserve">Se modifican las Disposiciones 5.6.1. a 5.6.6. del Capítulo 5.6. de la </w:t>
      </w:r>
      <w:r w:rsidRPr="007A391D">
        <w:rPr>
          <w:color w:val="000000"/>
        </w:rPr>
        <w:t>Circular Única de Seguros y Fianzas, para quedar como sigue:</w:t>
      </w:r>
    </w:p>
    <w:p w14:paraId="03FFE0F5" w14:textId="77777777" w:rsidR="00B515AD" w:rsidRPr="003A2A93" w:rsidRDefault="00B515AD" w:rsidP="000919FF">
      <w:pPr>
        <w:pStyle w:val="Texto"/>
        <w:spacing w:after="80" w:line="214" w:lineRule="exact"/>
        <w:ind w:firstLine="0"/>
        <w:jc w:val="center"/>
        <w:rPr>
          <w:b/>
        </w:rPr>
      </w:pPr>
      <w:r w:rsidRPr="003A2A93">
        <w:rPr>
          <w:b/>
        </w:rPr>
        <w:t>CAPÍTULO 5.6.</w:t>
      </w:r>
    </w:p>
    <w:p w14:paraId="0A65C4DD" w14:textId="77777777" w:rsidR="00B515AD" w:rsidRPr="007A391D" w:rsidRDefault="00B515AD" w:rsidP="000919FF">
      <w:pPr>
        <w:pStyle w:val="Texto"/>
        <w:spacing w:after="80" w:line="214" w:lineRule="exact"/>
        <w:ind w:firstLine="0"/>
        <w:jc w:val="center"/>
      </w:pPr>
      <w:r w:rsidRPr="007A391D">
        <w:t>DE LA VALUACIÓN, CONSTITUCIÓN E INCREMENTO DE LAS RESERVAS DE RIESGOS CATASTRÓFICOS DE LAS INSTITUCIONES DE SEGUROS Y SOCIEDADES MUTUALISTAS</w:t>
      </w:r>
    </w:p>
    <w:p w14:paraId="7D3E0C0D" w14:textId="77777777" w:rsidR="00B515AD" w:rsidRPr="007A391D" w:rsidRDefault="00B515AD" w:rsidP="000919FF">
      <w:pPr>
        <w:pStyle w:val="Texto"/>
        <w:spacing w:after="80" w:line="214" w:lineRule="exact"/>
      </w:pPr>
      <w:r w:rsidRPr="007A391D">
        <w:t>Para los efectos de los artículos 216, 217, 218 y 349 de la LISF:</w:t>
      </w:r>
    </w:p>
    <w:p w14:paraId="506150A6" w14:textId="77777777" w:rsidR="00B515AD" w:rsidRPr="007A391D" w:rsidRDefault="00B515AD" w:rsidP="000919FF">
      <w:pPr>
        <w:pStyle w:val="Texto"/>
        <w:spacing w:after="80" w:line="214" w:lineRule="exact"/>
        <w:ind w:left="864" w:hanging="576"/>
      </w:pPr>
      <w:r w:rsidRPr="007A391D">
        <w:t>5.6.1.</w:t>
      </w:r>
      <w:r w:rsidRPr="007A391D">
        <w:tab/>
      </w:r>
      <w:r w:rsidRPr="003A2A93">
        <w:rPr>
          <w:b/>
        </w:rPr>
        <w:t>…</w:t>
      </w:r>
    </w:p>
    <w:p w14:paraId="405FC8CC" w14:textId="77777777" w:rsidR="00B515AD" w:rsidRPr="007A391D" w:rsidRDefault="00B515AD" w:rsidP="000919FF">
      <w:pPr>
        <w:pStyle w:val="Texto"/>
        <w:spacing w:after="80" w:line="214" w:lineRule="exact"/>
        <w:ind w:left="1296" w:hanging="432"/>
      </w:pPr>
      <w:r w:rsidRPr="007A391D">
        <w:t>I.</w:t>
      </w:r>
      <w:r w:rsidRPr="007A391D">
        <w:tab/>
      </w:r>
      <w:r w:rsidRPr="003A2A93">
        <w:rPr>
          <w:b/>
        </w:rPr>
        <w:t>…</w:t>
      </w:r>
    </w:p>
    <w:p w14:paraId="35A70171" w14:textId="77777777" w:rsidR="00B515AD" w:rsidRPr="000919FF" w:rsidRDefault="00B515AD" w:rsidP="000919FF">
      <w:pPr>
        <w:pStyle w:val="Texto"/>
        <w:spacing w:after="80" w:line="214" w:lineRule="exact"/>
        <w:ind w:left="1296" w:hanging="432"/>
        <w:rPr>
          <w:spacing w:val="-2"/>
        </w:rPr>
      </w:pPr>
      <w:r w:rsidRPr="007A391D">
        <w:t>II.</w:t>
      </w:r>
      <w:r w:rsidRPr="007A391D">
        <w:tab/>
        <w:t>Al saldo de la reserva se le adicionarán los productos financieros de la misma, calculados con base en la tasa efectiva mensual promedio de las emisiones del mes en cuestión de los Certificados de la Tesorería de la Federación a 28 días y, para la constituida en moneda extranjera, la tasa efectiva calculada con base en la tasa Secured Overnight Financing Rate (SOFR) 30-Day Average, correspondiente al último día hábil del mes de cálculo, dada a conocer por el Banco Federal de la Reserva de Nueva York (Federal Reserve Bank of New York) en su portal de internet</w:t>
      </w:r>
      <w:r>
        <w:t xml:space="preserve"> </w:t>
      </w:r>
      <w:r w:rsidRPr="007A391D">
        <w:t>(https://www.newyorkfed.org/markets/reference-rates/sofr-averages-and-index).</w:t>
      </w:r>
      <w:r w:rsidRPr="000919FF">
        <w:rPr>
          <w:spacing w:val="-2"/>
        </w:rPr>
        <w:t xml:space="preserve"> Los respectivos productos financieros serán capitalizables mensualmente;</w:t>
      </w:r>
    </w:p>
    <w:p w14:paraId="62EF22E4" w14:textId="77777777" w:rsidR="00B515AD" w:rsidRPr="007A391D" w:rsidRDefault="00B515AD" w:rsidP="000919FF">
      <w:pPr>
        <w:pStyle w:val="Texto"/>
        <w:spacing w:after="80" w:line="214" w:lineRule="exact"/>
        <w:ind w:left="1296" w:hanging="432"/>
      </w:pPr>
      <w:r w:rsidRPr="007A391D">
        <w:t>III.</w:t>
      </w:r>
      <w:r w:rsidRPr="007A391D">
        <w:tab/>
        <w:t>a</w:t>
      </w:r>
      <w:r>
        <w:t xml:space="preserve"> </w:t>
      </w:r>
      <w:r w:rsidRPr="007A391D">
        <w:t>VII.</w:t>
      </w:r>
      <w:r>
        <w:t xml:space="preserve"> </w:t>
      </w:r>
      <w:r w:rsidRPr="003A2A93">
        <w:rPr>
          <w:b/>
        </w:rPr>
        <w:t>…</w:t>
      </w:r>
    </w:p>
    <w:p w14:paraId="0B1A72AD" w14:textId="77777777" w:rsidR="00B515AD" w:rsidRPr="007A391D" w:rsidRDefault="00B515AD" w:rsidP="000919FF">
      <w:pPr>
        <w:pStyle w:val="Texto"/>
        <w:spacing w:after="80" w:line="214" w:lineRule="exact"/>
        <w:ind w:left="864" w:hanging="576"/>
      </w:pPr>
      <w:r w:rsidRPr="007A391D">
        <w:t>5.6.2.</w:t>
      </w:r>
      <w:r w:rsidRPr="007A391D">
        <w:tab/>
      </w:r>
      <w:r w:rsidRPr="003A2A93">
        <w:rPr>
          <w:b/>
        </w:rPr>
        <w:t>…</w:t>
      </w:r>
    </w:p>
    <w:p w14:paraId="10AE1544" w14:textId="77777777" w:rsidR="00B515AD" w:rsidRPr="007A391D" w:rsidRDefault="00B515AD" w:rsidP="000919FF">
      <w:pPr>
        <w:pStyle w:val="Texto"/>
        <w:spacing w:after="80" w:line="214" w:lineRule="exact"/>
        <w:ind w:left="1296" w:hanging="432"/>
      </w:pPr>
      <w:r w:rsidRPr="007A391D">
        <w:t>I.</w:t>
      </w:r>
      <w:r w:rsidRPr="007A391D">
        <w:tab/>
        <w:t>y</w:t>
      </w:r>
      <w:r>
        <w:t xml:space="preserve"> </w:t>
      </w:r>
      <w:r w:rsidRPr="007A391D">
        <w:t>II.</w:t>
      </w:r>
      <w:r>
        <w:t xml:space="preserve"> </w:t>
      </w:r>
      <w:r w:rsidRPr="003A2A93">
        <w:rPr>
          <w:b/>
        </w:rPr>
        <w:t>…</w:t>
      </w:r>
    </w:p>
    <w:p w14:paraId="017290F2" w14:textId="77777777" w:rsidR="00B515AD" w:rsidRPr="000919FF" w:rsidRDefault="00B515AD" w:rsidP="000919FF">
      <w:pPr>
        <w:pStyle w:val="Texto"/>
        <w:spacing w:after="80" w:line="202" w:lineRule="exact"/>
        <w:ind w:left="1296" w:hanging="432"/>
        <w:rPr>
          <w:spacing w:val="-2"/>
        </w:rPr>
      </w:pPr>
      <w:r w:rsidRPr="007A391D">
        <w:t>III.</w:t>
      </w:r>
      <w:r w:rsidRPr="007A391D">
        <w:tab/>
        <w:t xml:space="preserve">Al saldo de la reserva se le adicionarán los productos financieros de la misma, calculados con base en la tasa efectiva mensual promedio de las emisiones del mes en cuestión de los Certificados de la Tesorería de la Federación a 28 días y, para la constituida en moneda extranjera, la tasa efectiva calculada con base en la tasa Secured Overnight Financing Rate </w:t>
      </w:r>
      <w:r w:rsidRPr="007A391D">
        <w:lastRenderedPageBreak/>
        <w:t>(SOFR) 30-Day Average, correspondiente al último día hábil del mes de cálculo, dada a conocer por el Banco Federal de la Reserva de Nueva York (Federal Reserve Bank of New York) en su portal de internet</w:t>
      </w:r>
      <w:r>
        <w:t xml:space="preserve"> </w:t>
      </w:r>
      <w:r w:rsidRPr="007A391D">
        <w:t>(https://www.newyorkfed.org/markets/reference-rates/sofr-averages-and-index).</w:t>
      </w:r>
      <w:r w:rsidRPr="000919FF">
        <w:rPr>
          <w:spacing w:val="-2"/>
        </w:rPr>
        <w:t xml:space="preserve"> Los respectivos productos financieros serán capitalizables mensualmente;</w:t>
      </w:r>
    </w:p>
    <w:p w14:paraId="232F5315" w14:textId="77777777" w:rsidR="00B515AD" w:rsidRPr="007A391D" w:rsidRDefault="00B515AD" w:rsidP="000919FF">
      <w:pPr>
        <w:pStyle w:val="Texto"/>
        <w:spacing w:after="80" w:line="202" w:lineRule="exact"/>
        <w:ind w:left="1296" w:hanging="432"/>
      </w:pPr>
      <w:r w:rsidRPr="007A391D">
        <w:t xml:space="preserve">IV. </w:t>
      </w:r>
      <w:r w:rsidRPr="007A391D">
        <w:tab/>
        <w:t>y V.</w:t>
      </w:r>
      <w:r>
        <w:t xml:space="preserve"> </w:t>
      </w:r>
      <w:r w:rsidRPr="003A2A93">
        <w:rPr>
          <w:b/>
        </w:rPr>
        <w:t>…</w:t>
      </w:r>
    </w:p>
    <w:p w14:paraId="699304D3" w14:textId="77777777" w:rsidR="00B515AD" w:rsidRPr="007A391D" w:rsidRDefault="00B515AD" w:rsidP="000919FF">
      <w:pPr>
        <w:pStyle w:val="Texto"/>
        <w:spacing w:after="80" w:line="202" w:lineRule="exact"/>
        <w:ind w:left="864" w:hanging="576"/>
      </w:pPr>
      <w:r w:rsidRPr="007A391D">
        <w:t>5.6.3.</w:t>
      </w:r>
      <w:r w:rsidRPr="007A391D">
        <w:tab/>
      </w:r>
      <w:r w:rsidRPr="003A2A93">
        <w:rPr>
          <w:b/>
        </w:rPr>
        <w:t>…</w:t>
      </w:r>
    </w:p>
    <w:p w14:paraId="482D00D6" w14:textId="77777777" w:rsidR="00B515AD" w:rsidRPr="007A391D" w:rsidRDefault="00B515AD" w:rsidP="000919FF">
      <w:pPr>
        <w:pStyle w:val="Texto"/>
        <w:spacing w:after="80" w:line="202" w:lineRule="exact"/>
        <w:ind w:left="1296" w:hanging="432"/>
      </w:pPr>
      <w:r w:rsidRPr="007A391D">
        <w:t>I.</w:t>
      </w:r>
      <w:r w:rsidRPr="007A391D">
        <w:tab/>
      </w:r>
      <w:r w:rsidRPr="003A2A93">
        <w:rPr>
          <w:b/>
        </w:rPr>
        <w:t>…</w:t>
      </w:r>
    </w:p>
    <w:p w14:paraId="0185DC60" w14:textId="77777777" w:rsidR="00B515AD" w:rsidRPr="000919FF" w:rsidRDefault="00B515AD" w:rsidP="000919FF">
      <w:pPr>
        <w:pStyle w:val="Texto"/>
        <w:spacing w:after="80" w:line="202" w:lineRule="exact"/>
        <w:ind w:left="1296" w:hanging="432"/>
        <w:rPr>
          <w:spacing w:val="-2"/>
        </w:rPr>
      </w:pPr>
      <w:r w:rsidRPr="007A391D">
        <w:t>II.</w:t>
      </w:r>
      <w:r w:rsidRPr="007A391D">
        <w:tab/>
        <w:t>Al saldo de la reserva se le adicionarán los productos financieros de la misma, calculados con base en la tasa efectiva mensual promedio de las emisiones del mes en cuestión de los Certificados de la Tesorería de la Federación a 28 días y, para la constituida en moneda extranjera, la tasa efectiva calculada con base en la tasa Secured Overnight Financing Rate (SOFR) 30-Day Average, correspondiente al último día hábil del mes de cálculo, dada a conocer por el Banco Federal de la Reserva de Nueva York (Federal Reserve Bank of New York) en su portal de internet</w:t>
      </w:r>
      <w:r>
        <w:t xml:space="preserve"> </w:t>
      </w:r>
      <w:r w:rsidRPr="007A391D">
        <w:t>(https://www.newyorkfed.org/markets/reference-rates/sofr-averages-and-index).</w:t>
      </w:r>
      <w:r w:rsidRPr="000919FF">
        <w:rPr>
          <w:spacing w:val="-2"/>
        </w:rPr>
        <w:t xml:space="preserve"> Los respectivos productos financieros serán capitalizables mensualmente;</w:t>
      </w:r>
    </w:p>
    <w:p w14:paraId="0763FF0F" w14:textId="77777777" w:rsidR="00B515AD" w:rsidRPr="007A391D" w:rsidRDefault="00B515AD" w:rsidP="000919FF">
      <w:pPr>
        <w:pStyle w:val="Texto"/>
        <w:spacing w:after="80" w:line="202" w:lineRule="exact"/>
        <w:ind w:left="1296" w:hanging="432"/>
      </w:pPr>
      <w:r w:rsidRPr="007A391D">
        <w:t>III.</w:t>
      </w:r>
      <w:r w:rsidRPr="007A391D">
        <w:tab/>
        <w:t>a</w:t>
      </w:r>
      <w:r>
        <w:t xml:space="preserve"> </w:t>
      </w:r>
      <w:r w:rsidRPr="007A391D">
        <w:t>V.</w:t>
      </w:r>
      <w:r w:rsidRPr="003A2A93">
        <w:rPr>
          <w:b/>
        </w:rPr>
        <w:t xml:space="preserve"> …</w:t>
      </w:r>
    </w:p>
    <w:p w14:paraId="223C8E10" w14:textId="77777777" w:rsidR="00B515AD" w:rsidRPr="007A391D" w:rsidRDefault="00B515AD" w:rsidP="000919FF">
      <w:pPr>
        <w:pStyle w:val="Texto"/>
        <w:spacing w:after="80" w:line="202" w:lineRule="exact"/>
        <w:ind w:left="864" w:hanging="576"/>
      </w:pPr>
      <w:r w:rsidRPr="007A391D">
        <w:t>5.6.4.</w:t>
      </w:r>
      <w:r w:rsidRPr="007A391D">
        <w:tab/>
      </w:r>
      <w:r w:rsidRPr="003A2A93">
        <w:rPr>
          <w:b/>
        </w:rPr>
        <w:t>…</w:t>
      </w:r>
    </w:p>
    <w:p w14:paraId="0822AFDB" w14:textId="77777777" w:rsidR="00B515AD" w:rsidRPr="007A391D" w:rsidRDefault="00B515AD" w:rsidP="000919FF">
      <w:pPr>
        <w:pStyle w:val="Texto"/>
        <w:spacing w:after="80" w:line="202" w:lineRule="exact"/>
        <w:ind w:left="1296" w:hanging="432"/>
      </w:pPr>
      <w:r w:rsidRPr="007A391D">
        <w:t>I.</w:t>
      </w:r>
      <w:r w:rsidRPr="007A391D">
        <w:tab/>
        <w:t>y</w:t>
      </w:r>
      <w:r>
        <w:t xml:space="preserve"> </w:t>
      </w:r>
      <w:r w:rsidRPr="007A391D">
        <w:t>II.</w:t>
      </w:r>
      <w:r>
        <w:t xml:space="preserve"> </w:t>
      </w:r>
      <w:r w:rsidRPr="003A2A93">
        <w:rPr>
          <w:b/>
        </w:rPr>
        <w:t>…</w:t>
      </w:r>
    </w:p>
    <w:p w14:paraId="35C10A96" w14:textId="77777777" w:rsidR="00B515AD" w:rsidRPr="000919FF" w:rsidRDefault="00B515AD" w:rsidP="000919FF">
      <w:pPr>
        <w:pStyle w:val="Texto"/>
        <w:spacing w:after="80" w:line="202" w:lineRule="exact"/>
        <w:ind w:left="1296" w:hanging="432"/>
        <w:rPr>
          <w:spacing w:val="-4"/>
        </w:rPr>
      </w:pPr>
      <w:r w:rsidRPr="007A391D">
        <w:t>III.</w:t>
      </w:r>
      <w:r w:rsidRPr="007A391D">
        <w:tab/>
        <w:t>Al saldo de la reserva se le adicionarán los productos financieros de la misma, calculados con base en la tasa efectiva mensual promedio de las emisiones del mes en cuestión de los Certificados de la Tesorería de la Federación a 28 días y, para la constituida en moneda extranjera, la tasa efectiva calculada con base en la tasa Secured Overnight Financing Rate (SOFR) 30-Day Average, correspondiente al último día hábil del mes de cálculo, dada a conocer por el Banco Federal de la Reserva de Nueva York (Federal Reserve Bank of New York) en su portal de internet</w:t>
      </w:r>
      <w:r>
        <w:t xml:space="preserve"> </w:t>
      </w:r>
      <w:r w:rsidRPr="007A391D">
        <w:t>(https://www.newyorkfed.org/markets/reference-rates/sofr-averages-and-index).</w:t>
      </w:r>
      <w:r w:rsidRPr="000919FF">
        <w:rPr>
          <w:spacing w:val="-4"/>
        </w:rPr>
        <w:t xml:space="preserve"> Los respectivos productos financieros serán capitalizables mensualmente, y</w:t>
      </w:r>
    </w:p>
    <w:p w14:paraId="49BFEA28" w14:textId="77777777" w:rsidR="00B515AD" w:rsidRPr="007A391D" w:rsidRDefault="00B515AD" w:rsidP="000919FF">
      <w:pPr>
        <w:pStyle w:val="Texto"/>
        <w:spacing w:after="80" w:line="202" w:lineRule="exact"/>
        <w:ind w:left="1296" w:hanging="432"/>
      </w:pPr>
      <w:r w:rsidRPr="007A391D">
        <w:t>IV.</w:t>
      </w:r>
      <w:r w:rsidRPr="007A391D">
        <w:tab/>
      </w:r>
      <w:r w:rsidRPr="003A2A93">
        <w:rPr>
          <w:b/>
        </w:rPr>
        <w:t>…</w:t>
      </w:r>
    </w:p>
    <w:p w14:paraId="6286D19A" w14:textId="77777777" w:rsidR="00B515AD" w:rsidRPr="007A391D" w:rsidRDefault="00B515AD" w:rsidP="000919FF">
      <w:pPr>
        <w:pStyle w:val="Texto"/>
        <w:spacing w:after="80" w:line="202" w:lineRule="exact"/>
        <w:ind w:left="864" w:hanging="576"/>
      </w:pPr>
      <w:r w:rsidRPr="007A391D">
        <w:t>5.6.5.</w:t>
      </w:r>
      <w:r w:rsidRPr="007A391D">
        <w:tab/>
      </w:r>
      <w:r w:rsidRPr="003A2A93">
        <w:rPr>
          <w:b/>
        </w:rPr>
        <w:t>…</w:t>
      </w:r>
    </w:p>
    <w:p w14:paraId="6923EF50" w14:textId="77777777" w:rsidR="00B515AD" w:rsidRPr="007A391D" w:rsidRDefault="00B515AD" w:rsidP="000919FF">
      <w:pPr>
        <w:pStyle w:val="Texto"/>
        <w:spacing w:after="80" w:line="202" w:lineRule="exact"/>
        <w:ind w:left="1296" w:hanging="432"/>
      </w:pPr>
      <w:r w:rsidRPr="007A391D">
        <w:t>I.</w:t>
      </w:r>
      <w:r w:rsidRPr="007A391D">
        <w:tab/>
        <w:t>a</w:t>
      </w:r>
      <w:r>
        <w:t xml:space="preserve"> </w:t>
      </w:r>
      <w:r w:rsidRPr="007A391D">
        <w:t>III.</w:t>
      </w:r>
      <w:r>
        <w:t xml:space="preserve"> </w:t>
      </w:r>
      <w:r w:rsidRPr="003A2A93">
        <w:rPr>
          <w:b/>
        </w:rPr>
        <w:t>…</w:t>
      </w:r>
    </w:p>
    <w:p w14:paraId="22A0BF42" w14:textId="77777777" w:rsidR="00B515AD" w:rsidRPr="000919FF" w:rsidRDefault="00B515AD" w:rsidP="000919FF">
      <w:pPr>
        <w:pStyle w:val="Texto"/>
        <w:spacing w:after="80" w:line="202" w:lineRule="exact"/>
        <w:ind w:left="1296" w:hanging="432"/>
        <w:rPr>
          <w:spacing w:val="-2"/>
        </w:rPr>
      </w:pPr>
      <w:r w:rsidRPr="007A391D">
        <w:t>IV.</w:t>
      </w:r>
      <w:r w:rsidRPr="007A391D">
        <w:tab/>
        <w:t>Al saldo de la reserva se le adicionarán los productos financieros de la misma, calculados con base en la tasa efectiva mensual promedio de las emisiones del mes en cuestión de los Certificados de la Tesorería de la Federación a 28 días y, para la constituida en moneda extranjera, la tasa efectiva calculada con base en la tasa Secured Overnight Financing Rate (SOFR) 30-Day Average, correspondiente al último día hábil del mes de cálculo, dada a conocer por el Banco Federal de la Reserva de Nueva York (Federal Reserve Bank of New York) en su portal de internet</w:t>
      </w:r>
      <w:r>
        <w:t xml:space="preserve"> </w:t>
      </w:r>
      <w:r w:rsidRPr="007A391D">
        <w:t>(https://www.newyorkfed.org/markets/reference-rates/sofr-averages-and-index).</w:t>
      </w:r>
      <w:r w:rsidRPr="000919FF">
        <w:rPr>
          <w:spacing w:val="-2"/>
        </w:rPr>
        <w:t xml:space="preserve"> Los respectivos productos financieros serán capitalizables mensualmente;</w:t>
      </w:r>
    </w:p>
    <w:p w14:paraId="0BD60FBC" w14:textId="77777777" w:rsidR="00B515AD" w:rsidRPr="007A391D" w:rsidRDefault="00B515AD" w:rsidP="000919FF">
      <w:pPr>
        <w:pStyle w:val="Texto"/>
        <w:spacing w:after="80" w:line="202" w:lineRule="exact"/>
        <w:ind w:left="1296" w:hanging="432"/>
      </w:pPr>
      <w:r w:rsidRPr="007A391D">
        <w:t>V</w:t>
      </w:r>
      <w:r w:rsidRPr="007A391D">
        <w:tab/>
        <w:t>a</w:t>
      </w:r>
      <w:r>
        <w:t xml:space="preserve"> </w:t>
      </w:r>
      <w:r w:rsidRPr="007A391D">
        <w:t>VIII.</w:t>
      </w:r>
      <w:r>
        <w:t xml:space="preserve"> </w:t>
      </w:r>
      <w:r w:rsidRPr="003A2A93">
        <w:rPr>
          <w:b/>
        </w:rPr>
        <w:t>…</w:t>
      </w:r>
    </w:p>
    <w:p w14:paraId="2E266116" w14:textId="77777777" w:rsidR="00B515AD" w:rsidRPr="007A391D" w:rsidRDefault="00B515AD" w:rsidP="000919FF">
      <w:pPr>
        <w:pStyle w:val="Texto"/>
        <w:spacing w:after="80" w:line="202" w:lineRule="exact"/>
        <w:ind w:left="864" w:hanging="576"/>
      </w:pPr>
      <w:r w:rsidRPr="007A391D">
        <w:t>5.6.6.</w:t>
      </w:r>
      <w:r w:rsidRPr="007A391D">
        <w:tab/>
      </w:r>
      <w:r w:rsidRPr="003A2A93">
        <w:rPr>
          <w:b/>
        </w:rPr>
        <w:t>…</w:t>
      </w:r>
    </w:p>
    <w:p w14:paraId="11674EE7" w14:textId="77777777" w:rsidR="00B515AD" w:rsidRPr="007A391D" w:rsidRDefault="00B515AD" w:rsidP="000919FF">
      <w:pPr>
        <w:pStyle w:val="Texto"/>
        <w:spacing w:after="80" w:line="202" w:lineRule="exact"/>
        <w:ind w:left="1296" w:hanging="432"/>
      </w:pPr>
      <w:r w:rsidRPr="007A391D">
        <w:t>I.</w:t>
      </w:r>
      <w:r w:rsidRPr="007A391D">
        <w:tab/>
        <w:t>y</w:t>
      </w:r>
      <w:r>
        <w:t xml:space="preserve"> </w:t>
      </w:r>
      <w:r w:rsidRPr="007A391D">
        <w:t>II.</w:t>
      </w:r>
      <w:r>
        <w:t xml:space="preserve"> </w:t>
      </w:r>
      <w:r w:rsidRPr="003A2A93">
        <w:rPr>
          <w:b/>
        </w:rPr>
        <w:t>…</w:t>
      </w:r>
    </w:p>
    <w:p w14:paraId="434AB974" w14:textId="77777777" w:rsidR="00B515AD" w:rsidRPr="000919FF" w:rsidRDefault="00B515AD" w:rsidP="000919FF">
      <w:pPr>
        <w:pStyle w:val="Texto"/>
        <w:spacing w:after="80" w:line="202" w:lineRule="exact"/>
        <w:ind w:left="1296" w:hanging="432"/>
        <w:rPr>
          <w:spacing w:val="-2"/>
        </w:rPr>
      </w:pPr>
      <w:r w:rsidRPr="007A391D">
        <w:t>III.</w:t>
      </w:r>
      <w:r w:rsidRPr="007A391D">
        <w:tab/>
        <w:t>Al saldo de la reserva se le adicionarán los productos financieros de la misma, calculados con base en la tasa efectiva mensual promedio de las emisiones del mes en cuestión de los Certificados de la Tesorería de la Federación a 28 días y, para la constituida en moneda extranjera, la tasa efectiva calculada con base en la tasa Secured Overnight Financing Rate (SOFR) 30-Day Average, correspondiente al último día hábil del mes de cálculo, dada a conocer por el Banco Federal de la Reserva de Nueva York (Federal Reserve Bank of New York) en su portal de internet</w:t>
      </w:r>
      <w:r>
        <w:t xml:space="preserve"> </w:t>
      </w:r>
      <w:r w:rsidRPr="007A391D">
        <w:t>(https://www.newyorkfed.org/markets/reference-rates/sofr-averages-and-index).</w:t>
      </w:r>
      <w:r w:rsidRPr="000919FF">
        <w:rPr>
          <w:spacing w:val="-2"/>
        </w:rPr>
        <w:t xml:space="preserve"> Los respectivos productos financieros serán capitalizables mensualmente;</w:t>
      </w:r>
    </w:p>
    <w:p w14:paraId="24B96033" w14:textId="77777777" w:rsidR="00B515AD" w:rsidRPr="007A391D" w:rsidRDefault="00B515AD" w:rsidP="000919FF">
      <w:pPr>
        <w:pStyle w:val="Texto"/>
        <w:spacing w:after="80" w:line="202" w:lineRule="exact"/>
        <w:ind w:left="1296" w:hanging="432"/>
      </w:pPr>
      <w:r w:rsidRPr="007A391D">
        <w:t>IV.</w:t>
      </w:r>
      <w:r w:rsidRPr="007A391D">
        <w:tab/>
        <w:t>a</w:t>
      </w:r>
      <w:r>
        <w:t xml:space="preserve"> </w:t>
      </w:r>
      <w:r w:rsidRPr="007A391D">
        <w:t>VI.</w:t>
      </w:r>
      <w:r>
        <w:t xml:space="preserve"> </w:t>
      </w:r>
      <w:r w:rsidRPr="003A2A93">
        <w:rPr>
          <w:b/>
        </w:rPr>
        <w:t>…</w:t>
      </w:r>
    </w:p>
    <w:p w14:paraId="76AC3BD2" w14:textId="77777777" w:rsidR="00B515AD" w:rsidRPr="007A391D" w:rsidRDefault="00B515AD" w:rsidP="000919FF">
      <w:pPr>
        <w:pStyle w:val="Texto"/>
        <w:spacing w:after="80" w:line="202" w:lineRule="exact"/>
      </w:pPr>
      <w:r w:rsidRPr="007A391D">
        <w:t>5.6.7.</w:t>
      </w:r>
      <w:r>
        <w:t xml:space="preserve"> </w:t>
      </w:r>
      <w:r w:rsidRPr="007A391D">
        <w:t>a</w:t>
      </w:r>
      <w:r>
        <w:t xml:space="preserve"> </w:t>
      </w:r>
      <w:r w:rsidRPr="007A391D">
        <w:t>5.6.9.</w:t>
      </w:r>
      <w:r>
        <w:t xml:space="preserve"> </w:t>
      </w:r>
      <w:r w:rsidRPr="003A2A93">
        <w:rPr>
          <w:b/>
        </w:rPr>
        <w:t>…</w:t>
      </w:r>
    </w:p>
    <w:p w14:paraId="487FE970" w14:textId="77777777" w:rsidR="00B515AD" w:rsidRPr="007A391D" w:rsidRDefault="00B515AD" w:rsidP="000919FF">
      <w:pPr>
        <w:pStyle w:val="ANOTACION"/>
        <w:spacing w:after="80" w:line="202" w:lineRule="exact"/>
      </w:pPr>
      <w:r w:rsidRPr="007A391D">
        <w:t>TRANSITORIAS</w:t>
      </w:r>
    </w:p>
    <w:p w14:paraId="6E2B5B28" w14:textId="77777777" w:rsidR="00B515AD" w:rsidRPr="007A391D" w:rsidRDefault="00B515AD" w:rsidP="000919FF">
      <w:pPr>
        <w:pStyle w:val="Texto"/>
        <w:spacing w:after="80" w:line="202" w:lineRule="exact"/>
        <w:rPr>
          <w:color w:val="000000"/>
        </w:rPr>
      </w:pPr>
      <w:r w:rsidRPr="007A391D">
        <w:rPr>
          <w:b/>
          <w:color w:val="000000"/>
        </w:rPr>
        <w:t>PRIMERA. -</w:t>
      </w:r>
      <w:r w:rsidRPr="007A391D">
        <w:rPr>
          <w:color w:val="000000"/>
        </w:rPr>
        <w:t xml:space="preserve"> Publíquese en el Diario Oficial de la Federación.</w:t>
      </w:r>
    </w:p>
    <w:p w14:paraId="1054F5D6" w14:textId="77777777" w:rsidR="00B515AD" w:rsidRPr="007A391D" w:rsidRDefault="00B515AD" w:rsidP="000919FF">
      <w:pPr>
        <w:pStyle w:val="Texto"/>
        <w:spacing w:after="80" w:line="202" w:lineRule="exact"/>
        <w:rPr>
          <w:color w:val="000000"/>
        </w:rPr>
      </w:pPr>
      <w:r w:rsidRPr="007A391D">
        <w:rPr>
          <w:b/>
          <w:color w:val="000000"/>
        </w:rPr>
        <w:t>SEGUNDA. -</w:t>
      </w:r>
      <w:r w:rsidRPr="007A391D">
        <w:rPr>
          <w:color w:val="000000"/>
        </w:rPr>
        <w:t xml:space="preserve"> La presente Circular Modificatoria entrará en vigor el día siguiente al de su publicación en el Diario Oficial de la Federación.</w:t>
      </w:r>
    </w:p>
    <w:p w14:paraId="2667C03A" w14:textId="77777777" w:rsidR="00B515AD" w:rsidRDefault="00B515AD" w:rsidP="000919FF">
      <w:pPr>
        <w:pStyle w:val="Texto"/>
        <w:spacing w:after="80" w:line="202" w:lineRule="exact"/>
      </w:pPr>
      <w:r w:rsidRPr="007A391D">
        <w:t>Atentamente</w:t>
      </w:r>
    </w:p>
    <w:p w14:paraId="75462E5C" w14:textId="77777777" w:rsidR="0084733D" w:rsidRDefault="00B515AD" w:rsidP="000919FF">
      <w:pPr>
        <w:pStyle w:val="Texto"/>
        <w:spacing w:after="80" w:line="202" w:lineRule="exact"/>
      </w:pPr>
      <w:bookmarkStart w:id="8" w:name="FechaOficio"/>
      <w:r w:rsidRPr="007A391D">
        <w:rPr>
          <w:color w:val="000000"/>
        </w:rPr>
        <w:t>Ciudad de México,</w:t>
      </w:r>
      <w:bookmarkEnd w:id="8"/>
      <w:r w:rsidRPr="007A391D">
        <w:rPr>
          <w:color w:val="000000"/>
        </w:rPr>
        <w:t xml:space="preserve"> a 9 de octubre de 2023.</w:t>
      </w:r>
      <w:r>
        <w:rPr>
          <w:color w:val="000000"/>
        </w:rPr>
        <w:t xml:space="preserve">- </w:t>
      </w:r>
      <w:r w:rsidRPr="007A391D">
        <w:t>El Presidente</w:t>
      </w:r>
      <w:r>
        <w:t xml:space="preserve"> de la </w:t>
      </w:r>
      <w:r w:rsidRPr="007A391D">
        <w:t>Comisión Nacional de Seguros y Fianzas</w:t>
      </w:r>
      <w:r>
        <w:t xml:space="preserve">, </w:t>
      </w:r>
      <w:r w:rsidRPr="007A391D">
        <w:rPr>
          <w:b/>
        </w:rPr>
        <w:t>Ricardo Ernesto Ochoa Rodríguez</w:t>
      </w:r>
      <w:r>
        <w:t>.- Rúbrica.</w:t>
      </w:r>
    </w:p>
    <w:sectPr w:rsidR="0084733D" w:rsidSect="00B515AD">
      <w:headerReference w:type="even" r:id="rId11"/>
      <w:headerReference w:type="default" r:id="rId12"/>
      <w:pgSz w:w="12240" w:h="15840"/>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8E53" w14:textId="77777777" w:rsidR="0018575F" w:rsidRDefault="0018575F">
      <w:r>
        <w:separator/>
      </w:r>
    </w:p>
  </w:endnote>
  <w:endnote w:type="continuationSeparator" w:id="0">
    <w:p w14:paraId="7AE08368" w14:textId="77777777" w:rsidR="0018575F" w:rsidRDefault="0018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DF5F" w14:textId="77777777" w:rsidR="0018575F" w:rsidRDefault="0018575F">
      <w:r>
        <w:separator/>
      </w:r>
    </w:p>
  </w:footnote>
  <w:footnote w:type="continuationSeparator" w:id="0">
    <w:p w14:paraId="61E273DD" w14:textId="77777777" w:rsidR="0018575F" w:rsidRDefault="0018575F">
      <w:r>
        <w:continuationSeparator/>
      </w:r>
    </w:p>
  </w:footnote>
  <w:footnote w:id="1">
    <w:p w14:paraId="38767350" w14:textId="77777777" w:rsidR="00991E97" w:rsidRPr="000919FF" w:rsidRDefault="00991E97">
      <w:pPr>
        <w:pStyle w:val="Textonotapie"/>
        <w:rPr>
          <w:rFonts w:ascii="Arial" w:hAnsi="Arial" w:cs="Arial"/>
          <w:sz w:val="16"/>
          <w:szCs w:val="16"/>
        </w:rPr>
      </w:pPr>
      <w:r w:rsidRPr="000919FF">
        <w:rPr>
          <w:rFonts w:ascii="Arial" w:hAnsi="Arial" w:cs="Arial"/>
          <w:sz w:val="18"/>
          <w:szCs w:val="18"/>
          <w:vertAlign w:val="superscript"/>
        </w:rPr>
        <w:footnoteRef/>
      </w:r>
      <w:r w:rsidRPr="000919FF">
        <w:rPr>
          <w:rFonts w:ascii="Arial" w:hAnsi="Arial" w:cs="Arial"/>
          <w:sz w:val="16"/>
          <w:szCs w:val="16"/>
        </w:rPr>
        <w:t xml:space="preserve"> </w:t>
      </w:r>
      <w:r w:rsidRPr="000919FF">
        <w:rPr>
          <w:rFonts w:ascii="Arial" w:hAnsi="Arial" w:cs="Arial"/>
          <w:sz w:val="14"/>
          <w:szCs w:val="14"/>
        </w:rPr>
        <w:t>https://www.theice.com/iba/libor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A966" w14:textId="77777777" w:rsidR="00991E97" w:rsidRPr="0084733D" w:rsidRDefault="00991E97" w:rsidP="008D231D">
    <w:pPr>
      <w:pStyle w:val="Fechas"/>
      <w:rPr>
        <w:rFonts w:cs="Times New Roman"/>
      </w:rPr>
    </w:pPr>
    <w:r w:rsidRPr="0084733D">
      <w:rPr>
        <w:rFonts w:cs="Times New Roman"/>
      </w:rPr>
      <w:tab/>
      <w:t>DIARIO OFICIAL</w:t>
    </w:r>
    <w:r w:rsidRPr="0084733D">
      <w:rPr>
        <w:rFonts w:cs="Times New Roman"/>
      </w:rPr>
      <w:tab/>
      <w:t>Miércoles 18 de octubre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B7BF" w14:textId="77777777" w:rsidR="00991E97" w:rsidRPr="0084733D" w:rsidRDefault="00991E97" w:rsidP="008D231D">
    <w:pPr>
      <w:pStyle w:val="Fechas"/>
      <w:rPr>
        <w:rFonts w:cs="Times New Roman"/>
      </w:rPr>
    </w:pPr>
    <w:r w:rsidRPr="0084733D">
      <w:rPr>
        <w:rFonts w:cs="Times New Roman"/>
      </w:rPr>
      <w:t>Miércoles 18 de octubre de 2023</w:t>
    </w:r>
    <w:r w:rsidRPr="0084733D">
      <w:rPr>
        <w:rFonts w:cs="Times New Roman"/>
      </w:rPr>
      <w:tab/>
      <w:t>DIARIO OFICIAL</w:t>
    </w:r>
    <w:r w:rsidRPr="0084733D">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5DBE" w14:textId="77777777" w:rsidR="00991E97" w:rsidRPr="00D041E0" w:rsidRDefault="00991E97" w:rsidP="003D198E">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Miércoles 18 de octubre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044B3FC2" w14:textId="77777777" w:rsidR="00991E97" w:rsidRPr="003D198E" w:rsidRDefault="00991E97" w:rsidP="003D19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B806" w14:textId="77777777" w:rsidR="00991E97" w:rsidRPr="00D041E0" w:rsidRDefault="00991E97" w:rsidP="00867F57">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Miércoles 18 de octubre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185A800B" w14:textId="77777777" w:rsidR="00991E97" w:rsidRPr="00867F57" w:rsidRDefault="00991E97" w:rsidP="00867F5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3CCB" w14:textId="77777777" w:rsidR="00991E97" w:rsidRDefault="00991E97" w:rsidP="008D231D">
    <w:pPr>
      <w:pStyle w:val="Fechas"/>
    </w:pPr>
    <w:r>
      <w:tab/>
      <w:t>DIARIO OFICIAL</w:t>
    </w:r>
    <w:r>
      <w:tab/>
      <w:t>Miércoles 18 de octubre de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37B4" w14:textId="77777777" w:rsidR="00991E97" w:rsidRDefault="00991E97" w:rsidP="008D231D">
    <w:pPr>
      <w:pStyle w:val="Fechas"/>
    </w:pPr>
    <w:r>
      <w:t>Miércoles 18 de octubre de 2023</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598879989">
    <w:abstractNumId w:val="1"/>
  </w:num>
  <w:num w:numId="2" w16cid:durableId="414010440">
    <w:abstractNumId w:val="2"/>
  </w:num>
  <w:num w:numId="3" w16cid:durableId="70925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87"/>
    <w:rsid w:val="00007D5B"/>
    <w:rsid w:val="00023FDE"/>
    <w:rsid w:val="00025505"/>
    <w:rsid w:val="00030FA7"/>
    <w:rsid w:val="00033460"/>
    <w:rsid w:val="000468AF"/>
    <w:rsid w:val="00046AF3"/>
    <w:rsid w:val="00047AFF"/>
    <w:rsid w:val="00054E3C"/>
    <w:rsid w:val="000643A3"/>
    <w:rsid w:val="00070CDB"/>
    <w:rsid w:val="00080CA8"/>
    <w:rsid w:val="0008366A"/>
    <w:rsid w:val="00083B96"/>
    <w:rsid w:val="00085CFF"/>
    <w:rsid w:val="00090755"/>
    <w:rsid w:val="000919FF"/>
    <w:rsid w:val="000934C4"/>
    <w:rsid w:val="000B42E5"/>
    <w:rsid w:val="000B698E"/>
    <w:rsid w:val="000C50D4"/>
    <w:rsid w:val="000C632A"/>
    <w:rsid w:val="000E6BF1"/>
    <w:rsid w:val="000E7218"/>
    <w:rsid w:val="000F0FA3"/>
    <w:rsid w:val="000F3ABE"/>
    <w:rsid w:val="000F706A"/>
    <w:rsid w:val="001057D4"/>
    <w:rsid w:val="0010703B"/>
    <w:rsid w:val="00117C9C"/>
    <w:rsid w:val="001303A7"/>
    <w:rsid w:val="0013442A"/>
    <w:rsid w:val="00140A5C"/>
    <w:rsid w:val="00140ED6"/>
    <w:rsid w:val="00147D87"/>
    <w:rsid w:val="00155A7E"/>
    <w:rsid w:val="001574EC"/>
    <w:rsid w:val="00163AE3"/>
    <w:rsid w:val="001642EF"/>
    <w:rsid w:val="00167255"/>
    <w:rsid w:val="00173E9D"/>
    <w:rsid w:val="001748E8"/>
    <w:rsid w:val="00176B02"/>
    <w:rsid w:val="00181964"/>
    <w:rsid w:val="0018575F"/>
    <w:rsid w:val="00195422"/>
    <w:rsid w:val="00196F87"/>
    <w:rsid w:val="001A1CAD"/>
    <w:rsid w:val="001A2BCE"/>
    <w:rsid w:val="001B1144"/>
    <w:rsid w:val="001B6981"/>
    <w:rsid w:val="001C1DC9"/>
    <w:rsid w:val="001E6CB1"/>
    <w:rsid w:val="001F09BB"/>
    <w:rsid w:val="001F6325"/>
    <w:rsid w:val="002009AF"/>
    <w:rsid w:val="0020245C"/>
    <w:rsid w:val="002214D8"/>
    <w:rsid w:val="00226B32"/>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198E"/>
    <w:rsid w:val="003D3A40"/>
    <w:rsid w:val="003D6457"/>
    <w:rsid w:val="003E5783"/>
    <w:rsid w:val="003E7472"/>
    <w:rsid w:val="00410B8C"/>
    <w:rsid w:val="00412ED6"/>
    <w:rsid w:val="004142D5"/>
    <w:rsid w:val="00417269"/>
    <w:rsid w:val="004273D0"/>
    <w:rsid w:val="0042779F"/>
    <w:rsid w:val="004352A9"/>
    <w:rsid w:val="00440349"/>
    <w:rsid w:val="0044530C"/>
    <w:rsid w:val="004527C1"/>
    <w:rsid w:val="00453D17"/>
    <w:rsid w:val="0045544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194D"/>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97C20"/>
    <w:rsid w:val="006B7539"/>
    <w:rsid w:val="006C30AE"/>
    <w:rsid w:val="006D2E40"/>
    <w:rsid w:val="006E2487"/>
    <w:rsid w:val="006E4EE3"/>
    <w:rsid w:val="006E66EC"/>
    <w:rsid w:val="006E7A34"/>
    <w:rsid w:val="006F785A"/>
    <w:rsid w:val="0070415B"/>
    <w:rsid w:val="00704484"/>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22B72"/>
    <w:rsid w:val="00827CE1"/>
    <w:rsid w:val="0083080F"/>
    <w:rsid w:val="00832E88"/>
    <w:rsid w:val="008412BC"/>
    <w:rsid w:val="00842BE6"/>
    <w:rsid w:val="00842FB8"/>
    <w:rsid w:val="0084733D"/>
    <w:rsid w:val="008651ED"/>
    <w:rsid w:val="00867F57"/>
    <w:rsid w:val="00875A59"/>
    <w:rsid w:val="00877B39"/>
    <w:rsid w:val="00883AB9"/>
    <w:rsid w:val="008918DC"/>
    <w:rsid w:val="008922B8"/>
    <w:rsid w:val="0089558E"/>
    <w:rsid w:val="008A0F8C"/>
    <w:rsid w:val="008A23F3"/>
    <w:rsid w:val="008B5BD2"/>
    <w:rsid w:val="008C46C1"/>
    <w:rsid w:val="008D06EA"/>
    <w:rsid w:val="008D17A5"/>
    <w:rsid w:val="008D231D"/>
    <w:rsid w:val="008E35DF"/>
    <w:rsid w:val="008F507D"/>
    <w:rsid w:val="008F5142"/>
    <w:rsid w:val="008F7A18"/>
    <w:rsid w:val="00913D77"/>
    <w:rsid w:val="009167A0"/>
    <w:rsid w:val="009200A2"/>
    <w:rsid w:val="009329FB"/>
    <w:rsid w:val="00932AC2"/>
    <w:rsid w:val="00945F33"/>
    <w:rsid w:val="00947152"/>
    <w:rsid w:val="00947869"/>
    <w:rsid w:val="00975511"/>
    <w:rsid w:val="009855BF"/>
    <w:rsid w:val="0098771A"/>
    <w:rsid w:val="00991E97"/>
    <w:rsid w:val="009932CA"/>
    <w:rsid w:val="009A7654"/>
    <w:rsid w:val="009C02DA"/>
    <w:rsid w:val="009C58FD"/>
    <w:rsid w:val="009D4510"/>
    <w:rsid w:val="009D600A"/>
    <w:rsid w:val="009E1274"/>
    <w:rsid w:val="009E1AC6"/>
    <w:rsid w:val="009E3B35"/>
    <w:rsid w:val="009E63EA"/>
    <w:rsid w:val="009F050F"/>
    <w:rsid w:val="00A31E9B"/>
    <w:rsid w:val="00A333DC"/>
    <w:rsid w:val="00A34881"/>
    <w:rsid w:val="00A35A4B"/>
    <w:rsid w:val="00A53D31"/>
    <w:rsid w:val="00A7010C"/>
    <w:rsid w:val="00A73F8A"/>
    <w:rsid w:val="00A76032"/>
    <w:rsid w:val="00A8099D"/>
    <w:rsid w:val="00A81D62"/>
    <w:rsid w:val="00A84922"/>
    <w:rsid w:val="00A86F02"/>
    <w:rsid w:val="00A90AE8"/>
    <w:rsid w:val="00A971BB"/>
    <w:rsid w:val="00AA7550"/>
    <w:rsid w:val="00AB2CE9"/>
    <w:rsid w:val="00AB7088"/>
    <w:rsid w:val="00AC2AA2"/>
    <w:rsid w:val="00AD24D5"/>
    <w:rsid w:val="00AD54E0"/>
    <w:rsid w:val="00AE00D6"/>
    <w:rsid w:val="00AE2D96"/>
    <w:rsid w:val="00B00632"/>
    <w:rsid w:val="00B073A2"/>
    <w:rsid w:val="00B14C29"/>
    <w:rsid w:val="00B16746"/>
    <w:rsid w:val="00B170E8"/>
    <w:rsid w:val="00B17DFA"/>
    <w:rsid w:val="00B23F7A"/>
    <w:rsid w:val="00B3769E"/>
    <w:rsid w:val="00B515AD"/>
    <w:rsid w:val="00B63531"/>
    <w:rsid w:val="00B7008A"/>
    <w:rsid w:val="00B717B3"/>
    <w:rsid w:val="00B859B6"/>
    <w:rsid w:val="00BA71F1"/>
    <w:rsid w:val="00BB1CCD"/>
    <w:rsid w:val="00BB26D3"/>
    <w:rsid w:val="00BF091C"/>
    <w:rsid w:val="00C009E0"/>
    <w:rsid w:val="00C01B5D"/>
    <w:rsid w:val="00C24FC3"/>
    <w:rsid w:val="00C258E4"/>
    <w:rsid w:val="00C5515A"/>
    <w:rsid w:val="00C563D2"/>
    <w:rsid w:val="00C7152E"/>
    <w:rsid w:val="00C72F0B"/>
    <w:rsid w:val="00C75336"/>
    <w:rsid w:val="00C7793F"/>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96BFE"/>
    <w:rsid w:val="00DA0A97"/>
    <w:rsid w:val="00DA21C0"/>
    <w:rsid w:val="00DB3001"/>
    <w:rsid w:val="00DB4A71"/>
    <w:rsid w:val="00DC0D60"/>
    <w:rsid w:val="00DC2E2C"/>
    <w:rsid w:val="00DC4962"/>
    <w:rsid w:val="00DD259F"/>
    <w:rsid w:val="00DE04BB"/>
    <w:rsid w:val="00DE4C7A"/>
    <w:rsid w:val="00DF6036"/>
    <w:rsid w:val="00DF66A0"/>
    <w:rsid w:val="00DF6BC3"/>
    <w:rsid w:val="00E01296"/>
    <w:rsid w:val="00E067A1"/>
    <w:rsid w:val="00E21F6A"/>
    <w:rsid w:val="00E25A48"/>
    <w:rsid w:val="00E30B22"/>
    <w:rsid w:val="00E3798A"/>
    <w:rsid w:val="00E42835"/>
    <w:rsid w:val="00E460F3"/>
    <w:rsid w:val="00E461AC"/>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D2DCC"/>
    <w:rsid w:val="00EE6353"/>
    <w:rsid w:val="00EF1962"/>
    <w:rsid w:val="00EF226B"/>
    <w:rsid w:val="00F007E0"/>
    <w:rsid w:val="00F00937"/>
    <w:rsid w:val="00F0429A"/>
    <w:rsid w:val="00F049B3"/>
    <w:rsid w:val="00F22399"/>
    <w:rsid w:val="00F263D6"/>
    <w:rsid w:val="00F315C9"/>
    <w:rsid w:val="00F31F2D"/>
    <w:rsid w:val="00F37A2A"/>
    <w:rsid w:val="00F42E31"/>
    <w:rsid w:val="00F512E2"/>
    <w:rsid w:val="00F51E5E"/>
    <w:rsid w:val="00F5377C"/>
    <w:rsid w:val="00F543FB"/>
    <w:rsid w:val="00F64B32"/>
    <w:rsid w:val="00F70C4B"/>
    <w:rsid w:val="00F73C36"/>
    <w:rsid w:val="00F76B05"/>
    <w:rsid w:val="00F808C0"/>
    <w:rsid w:val="00F83712"/>
    <w:rsid w:val="00F84AC0"/>
    <w:rsid w:val="00F859B1"/>
    <w:rsid w:val="00F85CA3"/>
    <w:rsid w:val="00F95C77"/>
    <w:rsid w:val="00FA5033"/>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764D3"/>
  <w15:chartTrackingRefBased/>
  <w15:docId w15:val="{D27470F1-0A77-5147-BAAB-BA830440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87"/>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rsid w:val="00B515AD"/>
    <w:rPr>
      <w:rFonts w:ascii="CaAibri" w:hAnsi="CaAibri" w:cs="CaAibri"/>
      <w:sz w:val="20"/>
      <w:szCs w:val="20"/>
      <w:lang w:val="es-MX" w:eastAsia="es-MX"/>
    </w:rPr>
  </w:style>
  <w:style w:type="character" w:customStyle="1" w:styleId="TextonotapieCar">
    <w:name w:val="Texto nota pie Car"/>
    <w:link w:val="Textonotapie"/>
    <w:rsid w:val="00B515AD"/>
    <w:rPr>
      <w:rFonts w:ascii="CaAibri" w:hAnsi="CaAibri" w:cs="CaAibri"/>
    </w:rPr>
  </w:style>
  <w:style w:type="paragraph" w:styleId="Textodeglobo">
    <w:name w:val="Balloon Text"/>
    <w:basedOn w:val="Normal"/>
    <w:link w:val="TextodegloboCar"/>
    <w:uiPriority w:val="99"/>
    <w:semiHidden/>
    <w:unhideWhenUsed/>
    <w:rsid w:val="00F73C36"/>
    <w:rPr>
      <w:rFonts w:ascii="Segoe UI" w:hAnsi="Segoe UI" w:cs="Segoe UI"/>
      <w:sz w:val="18"/>
      <w:szCs w:val="18"/>
    </w:rPr>
  </w:style>
  <w:style w:type="character" w:customStyle="1" w:styleId="TextodegloboCar">
    <w:name w:val="Texto de globo Car"/>
    <w:link w:val="Textodeglobo"/>
    <w:uiPriority w:val="99"/>
    <w:semiHidden/>
    <w:rsid w:val="00F73C36"/>
    <w:rPr>
      <w:rFonts w:ascii="Segoe UI" w:hAnsi="Segoe UI" w:cs="Segoe UI"/>
      <w:sz w:val="18"/>
      <w:szCs w:val="18"/>
      <w:lang w:val="es-ES" w:eastAsia="zh-CN"/>
    </w:rPr>
  </w:style>
  <w:style w:type="character" w:customStyle="1" w:styleId="EncabezadoCar">
    <w:name w:val="Encabezado Car"/>
    <w:link w:val="Encabezado"/>
    <w:rsid w:val="003D198E"/>
    <w:rPr>
      <w:sz w:val="24"/>
      <w:szCs w:val="24"/>
      <w:lang w:val="es-ES" w:eastAsia="zh-CN"/>
    </w:rPr>
  </w:style>
  <w:style w:type="paragraph" w:customStyle="1" w:styleId="Sumario">
    <w:name w:val="Sumario"/>
    <w:basedOn w:val="Normal"/>
    <w:rsid w:val="0084733D"/>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84733D"/>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7</TotalTime>
  <Pages>12</Pages>
  <Words>4939</Words>
  <Characters>27165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3</cp:revision>
  <cp:lastPrinted>2023-10-16T20:36:00Z</cp:lastPrinted>
  <dcterms:created xsi:type="dcterms:W3CDTF">2023-10-18T06:48:00Z</dcterms:created>
  <dcterms:modified xsi:type="dcterms:W3CDTF">2023-10-18T06:53:00Z</dcterms:modified>
</cp:coreProperties>
</file>