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208DE" w14:textId="77777777" w:rsidR="00054A7A" w:rsidRPr="00C60079" w:rsidRDefault="00054A7A">
      <w:pPr>
        <w:pStyle w:val="CABEZA"/>
        <w:rPr>
          <w:rFonts w:cs="Times New Roman"/>
        </w:rPr>
      </w:pPr>
      <w:r w:rsidRPr="00C60079">
        <w:rPr>
          <w:rFonts w:cs="Times New Roman"/>
        </w:rPr>
        <w:t>SECRETARIA DE HACIENDA Y CREDITO PUBLICO</w:t>
      </w:r>
    </w:p>
    <w:p w14:paraId="023B09DD" w14:textId="77777777" w:rsidR="001271F2" w:rsidRPr="00C60079" w:rsidRDefault="001271F2" w:rsidP="00865490">
      <w:pPr>
        <w:pStyle w:val="Titulo1"/>
        <w:rPr>
          <w:rFonts w:cs="Times New Roman"/>
        </w:rPr>
      </w:pPr>
      <w:r w:rsidRPr="00C60079">
        <w:rPr>
          <w:rFonts w:cs="Times New Roman"/>
        </w:rPr>
        <w:t>DECRETO por el que se reforman, adicionan y derogan diversas disposiciones de la Ley del Seguro Social y de la Ley de los Sistemas de Ahorro para el Retiro.</w:t>
      </w:r>
    </w:p>
    <w:p w14:paraId="2DF61544" w14:textId="77777777" w:rsidR="001271F2" w:rsidRPr="00C60079" w:rsidRDefault="001271F2">
      <w:pPr>
        <w:pStyle w:val="Titulo2"/>
      </w:pPr>
      <w:r w:rsidRPr="00C60079">
        <w:t>Al margen un sello con el Escudo Nacional, que dice: Estados Unidos Mexicanos.- Presidencia</w:t>
      </w:r>
      <w:r w:rsidR="00C60079" w:rsidRPr="00C60079">
        <w:t xml:space="preserve"> </w:t>
      </w:r>
      <w:r w:rsidRPr="00C60079">
        <w:t>de la República.</w:t>
      </w:r>
    </w:p>
    <w:p w14:paraId="549A8B1A" w14:textId="77777777" w:rsidR="001271F2" w:rsidRPr="00E93A50" w:rsidRDefault="001271F2" w:rsidP="001271F2">
      <w:pPr>
        <w:pStyle w:val="Texto"/>
        <w:spacing w:after="84"/>
        <w:rPr>
          <w:lang w:val="es-MX"/>
        </w:rPr>
      </w:pPr>
      <w:r w:rsidRPr="00E93A50">
        <w:rPr>
          <w:b/>
          <w:lang w:val="es-MX"/>
        </w:rPr>
        <w:t>ANDRÉS MANUEL LÓPEZ OBRADOR</w:t>
      </w:r>
      <w:r w:rsidRPr="00E93A50">
        <w:rPr>
          <w:lang w:val="es-MX"/>
        </w:rPr>
        <w:t>, Presidente de los Estados Unidos Mexicanos, a sus habitantes sabed:</w:t>
      </w:r>
    </w:p>
    <w:p w14:paraId="47D7342B" w14:textId="77777777" w:rsidR="001271F2" w:rsidRPr="00E93A50" w:rsidRDefault="001271F2" w:rsidP="001271F2">
      <w:pPr>
        <w:pStyle w:val="Texto"/>
        <w:spacing w:after="84"/>
        <w:rPr>
          <w:szCs w:val="18"/>
          <w:lang w:val="es-MX"/>
        </w:rPr>
      </w:pPr>
      <w:r w:rsidRPr="00E93A50">
        <w:rPr>
          <w:szCs w:val="18"/>
          <w:lang w:val="es-MX"/>
        </w:rPr>
        <w:t>Que el Honorable Congreso de la Unión, se ha servido dirigirme el siguiente</w:t>
      </w:r>
    </w:p>
    <w:p w14:paraId="25F939A7" w14:textId="77777777" w:rsidR="001271F2" w:rsidRPr="00E93A50" w:rsidRDefault="001271F2" w:rsidP="001271F2">
      <w:pPr>
        <w:pStyle w:val="ANOTACION"/>
        <w:spacing w:after="84"/>
      </w:pPr>
      <w:r w:rsidRPr="00E93A50">
        <w:t>DECRETO</w:t>
      </w:r>
    </w:p>
    <w:p w14:paraId="652581F3" w14:textId="77777777" w:rsidR="001271F2" w:rsidRPr="00D123F4" w:rsidRDefault="001271F2" w:rsidP="001271F2">
      <w:pPr>
        <w:pStyle w:val="Texto"/>
        <w:spacing w:after="84"/>
        <w:rPr>
          <w:sz w:val="16"/>
          <w:szCs w:val="18"/>
        </w:rPr>
      </w:pPr>
      <w:r w:rsidRPr="00E93A50">
        <w:rPr>
          <w:b/>
          <w:szCs w:val="18"/>
        </w:rPr>
        <w:t>"</w:t>
      </w:r>
      <w:r w:rsidRPr="00D123F4">
        <w:rPr>
          <w:sz w:val="16"/>
          <w:szCs w:val="18"/>
        </w:rPr>
        <w:t>EL CONGRESO GENERAL DE LOS ESTADOS UNIDOS MEXICANOS, DECRETA:</w:t>
      </w:r>
    </w:p>
    <w:p w14:paraId="6AF72FA6" w14:textId="77777777" w:rsidR="001271F2" w:rsidRPr="00D123F4" w:rsidRDefault="001271F2" w:rsidP="001271F2">
      <w:pPr>
        <w:pStyle w:val="Texto"/>
        <w:spacing w:after="84"/>
        <w:rPr>
          <w:b/>
          <w:sz w:val="16"/>
          <w:szCs w:val="18"/>
          <w:lang w:val="es-ES_tradnl"/>
        </w:rPr>
      </w:pPr>
      <w:r w:rsidRPr="00D123F4">
        <w:rPr>
          <w:b/>
          <w:sz w:val="16"/>
          <w:szCs w:val="18"/>
          <w:lang w:val="es-ES_tradnl"/>
        </w:rPr>
        <w:t>SE REFORMAN, ADICIONAN Y DEROGAN DIVERSAS DISPOSICIONES DE LA LEY DEL SEGURO SOCIAL</w:t>
      </w:r>
      <w:r w:rsidR="00C60079">
        <w:rPr>
          <w:b/>
          <w:sz w:val="16"/>
          <w:szCs w:val="18"/>
          <w:lang w:val="es-ES_tradnl"/>
        </w:rPr>
        <w:t xml:space="preserve"> </w:t>
      </w:r>
      <w:r w:rsidRPr="00D123F4">
        <w:rPr>
          <w:b/>
          <w:sz w:val="16"/>
          <w:szCs w:val="18"/>
          <w:lang w:val="es-ES_tradnl"/>
        </w:rPr>
        <w:t>Y DE LA LEY DE LOS SISTEMAS DE AHORRO PARA EL RETIRO</w:t>
      </w:r>
    </w:p>
    <w:p w14:paraId="27EBF47C" w14:textId="77777777" w:rsidR="001271F2" w:rsidRPr="00E93A50" w:rsidRDefault="001271F2" w:rsidP="001271F2">
      <w:pPr>
        <w:pStyle w:val="Texto"/>
        <w:spacing w:after="84"/>
        <w:rPr>
          <w:szCs w:val="18"/>
          <w:lang w:val="es-ES_tradnl"/>
        </w:rPr>
      </w:pPr>
      <w:r w:rsidRPr="00E93A50">
        <w:rPr>
          <w:b/>
          <w:szCs w:val="18"/>
          <w:lang w:val="es-ES_tradnl"/>
        </w:rPr>
        <w:t xml:space="preserve">Artículo Primero. </w:t>
      </w:r>
      <w:r w:rsidRPr="00E93A50">
        <w:rPr>
          <w:szCs w:val="18"/>
          <w:lang w:val="es-ES_tradnl"/>
        </w:rPr>
        <w:t>Se reforman los artículos 139, párrafo segundo; 141, párrafos segundo y tercero; 154, párrafo segundo; 157, párrafos primero, segundo y tercero; 158; 159, fracciones I, párrafo primero, IV y V; 162, párrafo primero; 164, párrafos primero, segundo y tercero; 165, párrafo primero; 168, fracciones II y IV, párrafo primero; 170; 172, párrafos tercero y cuarto; 172 A, fracción II; 190; 192, párrafo tercero; 193; 194, párrafo primero; 218, inciso a); 302, y el párrafo segundo del artículo Vigésimo Noveno Transitorio; se adiciona un párrafo tercero al artículo 159, y un párrafo quinto al artículo 172, y se deroga la fracción III del artículo 168, de la Ley del Seguro Social, para quedar como sigue:</w:t>
      </w:r>
    </w:p>
    <w:p w14:paraId="220EF238" w14:textId="77777777" w:rsidR="001271F2" w:rsidRPr="00E93A50" w:rsidRDefault="001271F2" w:rsidP="001271F2">
      <w:pPr>
        <w:pStyle w:val="Texto"/>
        <w:spacing w:after="84"/>
        <w:rPr>
          <w:b/>
          <w:szCs w:val="18"/>
          <w:lang w:val="es-ES_tradnl"/>
        </w:rPr>
      </w:pPr>
      <w:r w:rsidRPr="00E93A50">
        <w:rPr>
          <w:b/>
          <w:szCs w:val="18"/>
          <w:lang w:val="es-ES_tradnl"/>
        </w:rPr>
        <w:t>Artículo 139. ...</w:t>
      </w:r>
    </w:p>
    <w:p w14:paraId="326F1886" w14:textId="77777777" w:rsidR="001271F2" w:rsidRPr="00E93A50" w:rsidRDefault="001271F2" w:rsidP="001271F2">
      <w:pPr>
        <w:pStyle w:val="Texto"/>
        <w:spacing w:after="84"/>
        <w:rPr>
          <w:szCs w:val="18"/>
          <w:lang w:val="es-ES_tradnl"/>
        </w:rPr>
      </w:pPr>
      <w:r w:rsidRPr="00E93A50">
        <w:rPr>
          <w:szCs w:val="18"/>
          <w:lang w:val="es-ES_tradnl"/>
        </w:rPr>
        <w:t>Los pensionados por retiro, cesantía en edad avanzada y vejez recibirán, incluidas en la pensión que adquieran, las asignaciones familiares y las ayudas asistenciales que se establecen en esta sección, las cuales se financiarán con la cuota social que, en su caso, aporte el Estado en los términos de la fracción IV del artículo 168 de esta Ley y con las aportaciones patronales a la Subcuenta de Retiro, Cesantía en Edad Avanzada y Vejez.</w:t>
      </w:r>
    </w:p>
    <w:p w14:paraId="6B0C9FC6" w14:textId="77777777" w:rsidR="001271F2" w:rsidRPr="00E93A50" w:rsidRDefault="001271F2" w:rsidP="001271F2">
      <w:pPr>
        <w:pStyle w:val="Texto"/>
        <w:spacing w:after="84"/>
        <w:rPr>
          <w:szCs w:val="18"/>
          <w:lang w:val="es-MX"/>
        </w:rPr>
      </w:pPr>
      <w:r w:rsidRPr="00E93A50">
        <w:rPr>
          <w:b/>
          <w:szCs w:val="18"/>
          <w:lang w:val="es-ES_tradnl"/>
        </w:rPr>
        <w:t>Artículo 141. ...</w:t>
      </w:r>
    </w:p>
    <w:p w14:paraId="5E5A59A0" w14:textId="77777777" w:rsidR="001271F2" w:rsidRPr="00E93A50" w:rsidRDefault="001271F2" w:rsidP="001271F2">
      <w:pPr>
        <w:pStyle w:val="Texto"/>
        <w:spacing w:after="84" w:line="220" w:lineRule="exact"/>
        <w:rPr>
          <w:szCs w:val="18"/>
          <w:lang w:val="es-ES_tradnl"/>
        </w:rPr>
      </w:pPr>
      <w:r w:rsidRPr="00E93A50">
        <w:rPr>
          <w:szCs w:val="18"/>
          <w:lang w:val="es-ES_tradnl"/>
        </w:rPr>
        <w:t>En el caso de que la cuantía de la pensión sea inferior al promedio de las pensiones garantizadas, que corresponda a un salario mínimo y sesenta años de edad, de acuerdo con la tabla establecida en el artículo 170 de esta Ley, el Estado aportará la diferencia a fin de que el trabajador pueda adquirir una pensión vitalicia.</w:t>
      </w:r>
    </w:p>
    <w:p w14:paraId="4B2D4224" w14:textId="77777777" w:rsidR="001271F2" w:rsidRPr="00E93A50" w:rsidRDefault="001271F2" w:rsidP="001271F2">
      <w:pPr>
        <w:pStyle w:val="Texto"/>
        <w:spacing w:after="84" w:line="220" w:lineRule="exact"/>
        <w:rPr>
          <w:szCs w:val="18"/>
          <w:lang w:val="es-ES_tradnl"/>
        </w:rPr>
      </w:pPr>
      <w:r w:rsidRPr="00E93A50">
        <w:rPr>
          <w:szCs w:val="18"/>
          <w:lang w:val="es-ES_tradnl"/>
        </w:rPr>
        <w:t>En ningún caso la pensión de invalidez, incluyendo las asignaciones familiares y ayudas asistenciales, podrá ser inferior al promedio de las pensiones garantizadas, que corresponda a un salario mínimo y sesenta años de edad, de acuerdo con la tabla establecida en el artículo 170 de esta Ley.</w:t>
      </w:r>
    </w:p>
    <w:p w14:paraId="224F31F3" w14:textId="77777777" w:rsidR="001271F2" w:rsidRPr="00E93A50" w:rsidRDefault="001271F2" w:rsidP="001271F2">
      <w:pPr>
        <w:pStyle w:val="Texto"/>
        <w:spacing w:after="84" w:line="220" w:lineRule="exact"/>
        <w:rPr>
          <w:b/>
          <w:szCs w:val="18"/>
          <w:lang w:val="es-ES_tradnl"/>
        </w:rPr>
      </w:pPr>
      <w:r w:rsidRPr="00E93A50">
        <w:rPr>
          <w:b/>
          <w:szCs w:val="18"/>
          <w:lang w:val="es-ES_tradnl"/>
        </w:rPr>
        <w:t>Artículo 154. ...</w:t>
      </w:r>
    </w:p>
    <w:p w14:paraId="533C0D12" w14:textId="77777777" w:rsidR="001271F2" w:rsidRPr="00E93A50" w:rsidRDefault="001271F2" w:rsidP="001271F2">
      <w:pPr>
        <w:pStyle w:val="Texto"/>
        <w:spacing w:after="84" w:line="220" w:lineRule="exact"/>
        <w:rPr>
          <w:szCs w:val="18"/>
          <w:lang w:val="es-ES_tradnl"/>
        </w:rPr>
      </w:pPr>
      <w:r w:rsidRPr="00E93A50">
        <w:rPr>
          <w:szCs w:val="18"/>
          <w:lang w:val="es-ES_tradnl"/>
        </w:rPr>
        <w:t>Para gozar de las prestaciones de este ramo se requiere que el asegurado tenga reconocidas ante el Instituto un mínimo de mil cotizaciones semanales.</w:t>
      </w:r>
    </w:p>
    <w:p w14:paraId="41CE448E" w14:textId="77777777" w:rsidR="001271F2" w:rsidRPr="00E93A50" w:rsidRDefault="001271F2" w:rsidP="001271F2">
      <w:pPr>
        <w:pStyle w:val="Texto"/>
        <w:spacing w:after="84" w:line="220" w:lineRule="exact"/>
        <w:rPr>
          <w:b/>
          <w:szCs w:val="18"/>
          <w:lang w:val="es-ES_tradnl"/>
        </w:rPr>
      </w:pPr>
      <w:r w:rsidRPr="00E93A50">
        <w:rPr>
          <w:b/>
          <w:szCs w:val="18"/>
          <w:lang w:val="es-ES_tradnl"/>
        </w:rPr>
        <w:t>...</w:t>
      </w:r>
    </w:p>
    <w:p w14:paraId="2128CD56" w14:textId="77777777" w:rsidR="001271F2" w:rsidRPr="00E93A50" w:rsidRDefault="001271F2" w:rsidP="001271F2">
      <w:pPr>
        <w:pStyle w:val="Texto"/>
        <w:spacing w:after="84" w:line="220" w:lineRule="exact"/>
        <w:rPr>
          <w:szCs w:val="18"/>
          <w:lang w:val="es-ES_tradnl"/>
        </w:rPr>
      </w:pPr>
      <w:r w:rsidRPr="00E93A50">
        <w:rPr>
          <w:b/>
          <w:szCs w:val="18"/>
          <w:lang w:val="es-ES_tradnl"/>
        </w:rPr>
        <w:t>...</w:t>
      </w:r>
    </w:p>
    <w:p w14:paraId="355A163D" w14:textId="77777777" w:rsidR="001271F2" w:rsidRPr="00E93A50" w:rsidRDefault="001271F2" w:rsidP="001271F2">
      <w:pPr>
        <w:pStyle w:val="Texto"/>
        <w:spacing w:after="84" w:line="220" w:lineRule="exact"/>
        <w:rPr>
          <w:szCs w:val="18"/>
          <w:lang w:val="es-ES_tradnl"/>
        </w:rPr>
      </w:pPr>
      <w:r w:rsidRPr="00E93A50">
        <w:rPr>
          <w:b/>
          <w:szCs w:val="18"/>
          <w:lang w:val="es-ES_tradnl"/>
        </w:rPr>
        <w:t xml:space="preserve">Artículo 157. </w:t>
      </w:r>
      <w:r w:rsidRPr="00E93A50">
        <w:rPr>
          <w:szCs w:val="18"/>
          <w:lang w:val="es-ES_tradnl"/>
        </w:rPr>
        <w:t>Los asegurados que reúnan los requisitos establecidos en esta sección podrán disponer de su cuenta individual con el objeto de disfrutar de una pensión de cesantía en edad avanzada. Para tal propósito, podrán elegir alguna de las opciones siguientes o ambas:</w:t>
      </w:r>
    </w:p>
    <w:p w14:paraId="5C13EC43" w14:textId="77777777" w:rsidR="001271F2" w:rsidRPr="00E93A50" w:rsidRDefault="001271F2" w:rsidP="001271F2">
      <w:pPr>
        <w:pStyle w:val="Texto"/>
        <w:spacing w:after="84"/>
        <w:ind w:left="576" w:firstLine="0"/>
        <w:rPr>
          <w:b/>
          <w:szCs w:val="18"/>
          <w:lang w:val="es-ES_tradnl"/>
        </w:rPr>
      </w:pPr>
      <w:r w:rsidRPr="00E93A50">
        <w:rPr>
          <w:b/>
          <w:szCs w:val="18"/>
          <w:lang w:val="es-ES_tradnl"/>
        </w:rPr>
        <w:t>I</w:t>
      </w:r>
      <w:r w:rsidRPr="00E93A50">
        <w:rPr>
          <w:szCs w:val="18"/>
          <w:lang w:val="es-ES_tradnl"/>
        </w:rPr>
        <w:t xml:space="preserve">. y </w:t>
      </w:r>
      <w:r w:rsidRPr="00E93A50">
        <w:rPr>
          <w:b/>
          <w:szCs w:val="18"/>
          <w:lang w:val="es-ES_tradnl"/>
        </w:rPr>
        <w:t>II. ...</w:t>
      </w:r>
    </w:p>
    <w:p w14:paraId="035BB8D6" w14:textId="77777777" w:rsidR="001271F2" w:rsidRPr="00E93A50" w:rsidRDefault="001271F2" w:rsidP="001271F2">
      <w:pPr>
        <w:pStyle w:val="Texto"/>
        <w:spacing w:after="84" w:line="220" w:lineRule="exact"/>
        <w:rPr>
          <w:szCs w:val="18"/>
          <w:lang w:val="es-ES_tradnl"/>
        </w:rPr>
      </w:pPr>
      <w:r w:rsidRPr="00E93A50">
        <w:rPr>
          <w:szCs w:val="18"/>
          <w:lang w:val="es-ES_tradnl"/>
        </w:rPr>
        <w:t>Los supuestos referidos, se sujetarán a lo establecido en esta Ley y a las reglas de carácter general que expida la Comisión Nacional del Sistema de Ahorro para el Retiro.</w:t>
      </w:r>
    </w:p>
    <w:p w14:paraId="70CE8BD5" w14:textId="77777777" w:rsidR="001271F2" w:rsidRPr="00E93A50" w:rsidRDefault="001271F2" w:rsidP="001271F2">
      <w:pPr>
        <w:pStyle w:val="Texto"/>
        <w:spacing w:after="84" w:line="220" w:lineRule="exact"/>
        <w:rPr>
          <w:szCs w:val="18"/>
          <w:lang w:val="es-ES_tradnl"/>
        </w:rPr>
      </w:pPr>
      <w:r w:rsidRPr="00E93A50">
        <w:rPr>
          <w:szCs w:val="18"/>
          <w:lang w:val="es-ES_tradnl"/>
        </w:rPr>
        <w:t>El asegurado que elija la opción prevista en la fracción II o ambas podrá, en cualquier momento, contratar una renta vitalicia de acuerdo a lo dispuesto en la fracción I, excepto cuando la renta mensual vitalicia a convenirse fuera inferior al promedio de las pensiones garantizadas, que corresponda a un salario mínimo y sesenta años de edad, de acuerdo con la tabla establecida en el artículo 170 de esta Ley.</w:t>
      </w:r>
    </w:p>
    <w:p w14:paraId="3ED75D05" w14:textId="77777777" w:rsidR="001271F2" w:rsidRPr="00E93A50" w:rsidRDefault="001271F2" w:rsidP="001271F2">
      <w:pPr>
        <w:pStyle w:val="Texto"/>
        <w:spacing w:after="84" w:line="220" w:lineRule="exact"/>
        <w:rPr>
          <w:szCs w:val="18"/>
          <w:lang w:val="es-ES_tradnl"/>
        </w:rPr>
      </w:pPr>
      <w:r w:rsidRPr="00E93A50">
        <w:rPr>
          <w:b/>
          <w:szCs w:val="18"/>
          <w:lang w:val="es-ES_tradnl"/>
        </w:rPr>
        <w:t xml:space="preserve">Artículo 158. </w:t>
      </w:r>
      <w:r w:rsidRPr="00E93A50">
        <w:rPr>
          <w:szCs w:val="18"/>
          <w:lang w:val="es-ES_tradnl"/>
        </w:rPr>
        <w:t>El asegurado podrá pensionarse antes de cumplir las edades establecidas, siempre y cuando la pensión que se le calcule en el sistema de renta vitalicia sea superior en más del treinta por ciento de la pensión garantizada que le corresponda conforme a las semanas de cotización, al salario base de cotización y a la edad de sesenta años, de la tabla establecida en el artículo 170 de esta Ley, una vez cubierta la prima del seguro de sobrevivencia para sus beneficiarios.</w:t>
      </w:r>
    </w:p>
    <w:p w14:paraId="67185F5B" w14:textId="77777777" w:rsidR="001271F2" w:rsidRPr="00E93A50" w:rsidRDefault="001271F2" w:rsidP="00865490">
      <w:pPr>
        <w:pStyle w:val="Texto"/>
        <w:spacing w:line="238" w:lineRule="exact"/>
        <w:rPr>
          <w:szCs w:val="18"/>
          <w:lang w:val="es-ES_tradnl"/>
        </w:rPr>
      </w:pPr>
      <w:r w:rsidRPr="00E93A50">
        <w:rPr>
          <w:szCs w:val="18"/>
          <w:lang w:val="es-ES_tradnl"/>
        </w:rPr>
        <w:lastRenderedPageBreak/>
        <w:t>El pensionado tendrá derecho a recibir el excedente de los recursos acumulados en su cuenta individual en una o varias exhibiciones, solamente si la pensión que se le otorgue es superior en más del treinta por ciento de la pensión garantizada que le corresponda conforme a las semanas de cotización, al salario base de cotización y a la edad de sesenta años, de la tabla establecida en el artículo 170 de esta Ley, una vez cubierta la prima del seguro de sobrevivencia para sus beneficiarios. La disposición de la cuenta, así como de sus rendimientos estará exenta del pago de contribuciones.</w:t>
      </w:r>
    </w:p>
    <w:p w14:paraId="2D0F1E65" w14:textId="77777777" w:rsidR="001271F2" w:rsidRPr="00E93A50" w:rsidRDefault="001271F2" w:rsidP="00865490">
      <w:pPr>
        <w:pStyle w:val="Texto"/>
        <w:spacing w:line="238" w:lineRule="exact"/>
        <w:rPr>
          <w:szCs w:val="18"/>
          <w:lang w:val="es-ES_tradnl"/>
        </w:rPr>
      </w:pPr>
      <w:r w:rsidRPr="00E93A50">
        <w:rPr>
          <w:szCs w:val="18"/>
          <w:lang w:val="es-ES_tradnl"/>
        </w:rPr>
        <w:t>Lo dispuesto en este artículo es aplicable al ramo de vejez.</w:t>
      </w:r>
    </w:p>
    <w:p w14:paraId="380DD797" w14:textId="77777777" w:rsidR="001271F2" w:rsidRPr="00E93A50" w:rsidRDefault="001271F2" w:rsidP="00865490">
      <w:pPr>
        <w:pStyle w:val="Texto"/>
        <w:spacing w:line="238" w:lineRule="exact"/>
        <w:rPr>
          <w:b/>
          <w:szCs w:val="18"/>
          <w:lang w:val="es-ES_tradnl"/>
        </w:rPr>
      </w:pPr>
      <w:r w:rsidRPr="00E93A50">
        <w:rPr>
          <w:b/>
          <w:szCs w:val="18"/>
          <w:lang w:val="es-ES_tradnl"/>
        </w:rPr>
        <w:t>Artículo 159. ...</w:t>
      </w:r>
    </w:p>
    <w:p w14:paraId="06149FF7" w14:textId="77777777" w:rsidR="001271F2" w:rsidRPr="00E93A50" w:rsidRDefault="001271F2" w:rsidP="00865490">
      <w:pPr>
        <w:pStyle w:val="Texto"/>
        <w:spacing w:line="238" w:lineRule="exact"/>
        <w:ind w:left="1008" w:hanging="432"/>
        <w:rPr>
          <w:szCs w:val="18"/>
          <w:lang w:val="es-ES_tradnl"/>
        </w:rPr>
      </w:pPr>
      <w:r w:rsidRPr="00E93A50">
        <w:rPr>
          <w:b/>
          <w:szCs w:val="18"/>
          <w:lang w:val="es-ES_tradnl"/>
        </w:rPr>
        <w:t>I.</w:t>
      </w:r>
      <w:r w:rsidRPr="00E93A50">
        <w:rPr>
          <w:b/>
          <w:szCs w:val="18"/>
          <w:lang w:val="es-ES_tradnl"/>
        </w:rPr>
        <w:tab/>
      </w:r>
      <w:r w:rsidRPr="00E93A50">
        <w:rPr>
          <w:szCs w:val="18"/>
          <w:lang w:val="es-ES_tradnl"/>
        </w:rPr>
        <w:t>Cuenta individual, aquella que se abrirá para cada asegurado en las Administradoras de Fondos para el Retiro, para que se depositen en la misma las cuotas obrero-patronales y, en su caso, la estatal por concepto del seguro de retiro, cesantía en edad avanzada y vejez, así como los rendimientos. La cuenta individual se integrará por las subcuentas: de retiro, cesantía en edad avanzada y vejez; de vivienda y de aportaciones voluntarias.</w:t>
      </w:r>
    </w:p>
    <w:p w14:paraId="60496D9E" w14:textId="77777777" w:rsidR="001271F2" w:rsidRPr="00E93A50" w:rsidRDefault="001271F2" w:rsidP="00865490">
      <w:pPr>
        <w:pStyle w:val="Texto"/>
        <w:spacing w:line="238" w:lineRule="exact"/>
        <w:ind w:left="1008" w:hanging="432"/>
        <w:rPr>
          <w:szCs w:val="18"/>
          <w:lang w:val="es-ES_tradnl"/>
        </w:rPr>
      </w:pPr>
      <w:r>
        <w:rPr>
          <w:b/>
          <w:szCs w:val="18"/>
          <w:lang w:val="es-ES_tradnl"/>
        </w:rPr>
        <w:tab/>
      </w:r>
      <w:r w:rsidRPr="00E93A50">
        <w:rPr>
          <w:b/>
          <w:szCs w:val="18"/>
          <w:lang w:val="es-ES_tradnl"/>
        </w:rPr>
        <w:t>...</w:t>
      </w:r>
    </w:p>
    <w:p w14:paraId="7BFF2AA6" w14:textId="77777777" w:rsidR="001271F2" w:rsidRPr="00E93A50" w:rsidRDefault="001271F2" w:rsidP="00865490">
      <w:pPr>
        <w:pStyle w:val="Texto"/>
        <w:spacing w:line="238" w:lineRule="exact"/>
        <w:ind w:left="1008" w:hanging="432"/>
        <w:rPr>
          <w:b/>
          <w:szCs w:val="18"/>
          <w:lang w:val="es-ES_tradnl"/>
        </w:rPr>
      </w:pPr>
      <w:r w:rsidRPr="00E93A50">
        <w:rPr>
          <w:b/>
          <w:szCs w:val="18"/>
          <w:lang w:val="es-ES_tradnl"/>
        </w:rPr>
        <w:t xml:space="preserve">II. </w:t>
      </w:r>
      <w:r w:rsidRPr="00E93A50">
        <w:rPr>
          <w:szCs w:val="18"/>
          <w:lang w:val="es-ES_tradnl"/>
        </w:rPr>
        <w:t xml:space="preserve">y </w:t>
      </w:r>
      <w:r w:rsidRPr="00E93A50">
        <w:rPr>
          <w:b/>
          <w:szCs w:val="18"/>
          <w:lang w:val="es-ES_tradnl"/>
        </w:rPr>
        <w:t>III. ...</w:t>
      </w:r>
    </w:p>
    <w:p w14:paraId="071423DC" w14:textId="77777777" w:rsidR="001271F2" w:rsidRPr="00E93A50" w:rsidRDefault="001271F2" w:rsidP="00865490">
      <w:pPr>
        <w:pStyle w:val="Texto"/>
        <w:spacing w:line="238" w:lineRule="exact"/>
        <w:ind w:left="1008" w:hanging="432"/>
        <w:rPr>
          <w:b/>
          <w:szCs w:val="18"/>
          <w:lang w:val="es-ES_tradnl"/>
        </w:rPr>
      </w:pPr>
      <w:r w:rsidRPr="00D123F4">
        <w:rPr>
          <w:b/>
          <w:lang w:val="es-ES_tradnl"/>
        </w:rPr>
        <w:t>IV.</w:t>
      </w:r>
      <w:r w:rsidRPr="00E93A50">
        <w:rPr>
          <w:lang w:val="es-ES_tradnl"/>
        </w:rPr>
        <w:tab/>
      </w:r>
      <w:r w:rsidRPr="00E93A50">
        <w:rPr>
          <w:szCs w:val="18"/>
          <w:lang w:val="es-ES_tradnl"/>
        </w:rPr>
        <w:t>Renta vitalicia, el contrato por el cual la aseguradora a cambio de recibir todos o parte de los recursos acumulados en la cuenta individual se obliga a pagar periódicamente una pensión durante la vida del pensionado.</w:t>
      </w:r>
    </w:p>
    <w:p w14:paraId="2AB064A6" w14:textId="77777777" w:rsidR="001271F2" w:rsidRPr="00E93A50" w:rsidRDefault="001271F2" w:rsidP="00865490">
      <w:pPr>
        <w:pStyle w:val="Texto"/>
        <w:spacing w:line="238" w:lineRule="exact"/>
        <w:ind w:left="1008" w:hanging="432"/>
        <w:rPr>
          <w:b/>
          <w:szCs w:val="18"/>
          <w:lang w:val="es-ES_tradnl"/>
        </w:rPr>
      </w:pPr>
      <w:r w:rsidRPr="00D123F4">
        <w:rPr>
          <w:b/>
          <w:lang w:val="es-ES_tradnl"/>
        </w:rPr>
        <w:t>V.</w:t>
      </w:r>
      <w:r w:rsidRPr="00E93A50">
        <w:rPr>
          <w:lang w:val="es-ES_tradnl"/>
        </w:rPr>
        <w:tab/>
      </w:r>
      <w:r w:rsidRPr="00E93A50">
        <w:rPr>
          <w:szCs w:val="18"/>
          <w:lang w:val="es-ES_tradnl"/>
        </w:rPr>
        <w:t>Retiros programados, la modalidad de obtener una pensión fraccionando el monto total o parte de los recursos de la cuenta individual, para lo cual se tomará en cuenta la esperanza de vida de los pensionados, así como los rendimientos previsibles de los saldos.</w:t>
      </w:r>
    </w:p>
    <w:p w14:paraId="4C11F0D9" w14:textId="77777777" w:rsidR="001271F2" w:rsidRPr="00E93A50" w:rsidRDefault="001271F2" w:rsidP="00865490">
      <w:pPr>
        <w:pStyle w:val="Texto"/>
        <w:spacing w:line="238" w:lineRule="exact"/>
        <w:ind w:left="1008" w:hanging="432"/>
        <w:rPr>
          <w:szCs w:val="18"/>
          <w:lang w:val="es-ES_tradnl"/>
        </w:rPr>
      </w:pPr>
      <w:r w:rsidRPr="00E93A50">
        <w:rPr>
          <w:b/>
          <w:szCs w:val="18"/>
          <w:lang w:val="es-ES_tradnl"/>
        </w:rPr>
        <w:t xml:space="preserve">VI. </w:t>
      </w:r>
      <w:r w:rsidRPr="00E93A50">
        <w:rPr>
          <w:szCs w:val="18"/>
          <w:lang w:val="es-ES_tradnl"/>
        </w:rPr>
        <w:t xml:space="preserve">a </w:t>
      </w:r>
      <w:r w:rsidRPr="00E93A50">
        <w:rPr>
          <w:b/>
          <w:szCs w:val="18"/>
          <w:lang w:val="es-ES_tradnl"/>
        </w:rPr>
        <w:t>VIII. ...</w:t>
      </w:r>
    </w:p>
    <w:p w14:paraId="675185AD" w14:textId="77777777" w:rsidR="001271F2" w:rsidRPr="00E93A50" w:rsidRDefault="001271F2" w:rsidP="00865490">
      <w:pPr>
        <w:pStyle w:val="Texto"/>
        <w:spacing w:line="238" w:lineRule="exact"/>
        <w:rPr>
          <w:b/>
          <w:szCs w:val="18"/>
          <w:lang w:val="es-ES_tradnl"/>
        </w:rPr>
      </w:pPr>
      <w:r w:rsidRPr="00E93A50">
        <w:rPr>
          <w:b/>
          <w:szCs w:val="18"/>
          <w:lang w:val="es-ES_tradnl"/>
        </w:rPr>
        <w:t>...</w:t>
      </w:r>
    </w:p>
    <w:p w14:paraId="3D823DAD" w14:textId="77777777" w:rsidR="001271F2" w:rsidRPr="00E93A50" w:rsidRDefault="001271F2" w:rsidP="00865490">
      <w:pPr>
        <w:pStyle w:val="Texto"/>
        <w:spacing w:line="238" w:lineRule="exact"/>
        <w:rPr>
          <w:szCs w:val="18"/>
          <w:lang w:val="es-ES_tradnl"/>
        </w:rPr>
      </w:pPr>
      <w:r w:rsidRPr="00E93A50">
        <w:rPr>
          <w:szCs w:val="18"/>
          <w:lang w:val="es-ES_tradnl"/>
        </w:rPr>
        <w:t>La renta vitalicia se sujetará a las modalidades de contratación que elija el asegurado de entre las opciones que estén registradas ante la Comisión Nacional de Seguros y Fianzas, previo acuerdo del Comité al que se refiere el artículo 81 de la Ley de los Sistemas de Ahorro para el Retiro.</w:t>
      </w:r>
    </w:p>
    <w:p w14:paraId="4884EB0A" w14:textId="77777777" w:rsidR="001271F2" w:rsidRPr="00E93A50" w:rsidRDefault="001271F2" w:rsidP="00865490">
      <w:pPr>
        <w:pStyle w:val="Texto"/>
        <w:spacing w:line="238" w:lineRule="exact"/>
        <w:rPr>
          <w:szCs w:val="18"/>
          <w:lang w:val="es-ES_tradnl"/>
        </w:rPr>
      </w:pPr>
      <w:r w:rsidRPr="00E93A50">
        <w:rPr>
          <w:b/>
          <w:szCs w:val="18"/>
          <w:lang w:val="es-ES_tradnl"/>
        </w:rPr>
        <w:t xml:space="preserve">Artículo 162. </w:t>
      </w:r>
      <w:r w:rsidRPr="00E93A50">
        <w:rPr>
          <w:szCs w:val="18"/>
          <w:lang w:val="es-ES_tradnl"/>
        </w:rPr>
        <w:t>Para tener derecho al goce de las prestaciones del seguro de vejez, se requiere que el asegurado haya cumplido sesenta y cinco años de edad y tenga reconocidas por el Instituto un mínimo de mil cotizaciones semanales.</w:t>
      </w:r>
    </w:p>
    <w:p w14:paraId="2E39CCA1" w14:textId="77777777" w:rsidR="001271F2" w:rsidRPr="00E93A50" w:rsidRDefault="001271F2" w:rsidP="00865490">
      <w:pPr>
        <w:pStyle w:val="Texto"/>
        <w:spacing w:line="238" w:lineRule="exact"/>
        <w:rPr>
          <w:b/>
          <w:szCs w:val="18"/>
          <w:lang w:val="es-ES_tradnl"/>
        </w:rPr>
      </w:pPr>
      <w:r w:rsidRPr="00E93A50">
        <w:rPr>
          <w:b/>
          <w:szCs w:val="18"/>
          <w:lang w:val="es-ES_tradnl"/>
        </w:rPr>
        <w:t>...</w:t>
      </w:r>
    </w:p>
    <w:p w14:paraId="7A6C08D6" w14:textId="77777777" w:rsidR="001271F2" w:rsidRPr="00E93A50" w:rsidRDefault="001271F2" w:rsidP="00865490">
      <w:pPr>
        <w:pStyle w:val="Texto"/>
        <w:spacing w:line="238" w:lineRule="exact"/>
        <w:rPr>
          <w:szCs w:val="18"/>
          <w:lang w:val="es-ES_tradnl"/>
        </w:rPr>
      </w:pPr>
      <w:r w:rsidRPr="00E93A50">
        <w:rPr>
          <w:b/>
          <w:szCs w:val="18"/>
          <w:lang w:val="es-ES_tradnl"/>
        </w:rPr>
        <w:t xml:space="preserve">Artículo 164. </w:t>
      </w:r>
      <w:r w:rsidRPr="00E93A50">
        <w:rPr>
          <w:szCs w:val="18"/>
          <w:lang w:val="es-ES_tradnl"/>
        </w:rPr>
        <w:t>Los asegurados que reúnan los requisitos establecidos en esta sección podrán disponer de su cuenta individual con el objeto de disfrutar de una pensión de vejez. Para tal propósito podrán optar por alguna de las opciones siguientes o ambas:</w:t>
      </w:r>
    </w:p>
    <w:p w14:paraId="1D9BFD78" w14:textId="77777777" w:rsidR="001271F2" w:rsidRPr="00E93A50" w:rsidRDefault="001271F2" w:rsidP="00865490">
      <w:pPr>
        <w:pStyle w:val="Texto"/>
        <w:spacing w:line="238" w:lineRule="exact"/>
        <w:ind w:left="576" w:firstLine="0"/>
        <w:rPr>
          <w:b/>
          <w:szCs w:val="18"/>
          <w:lang w:val="es-ES_tradnl"/>
        </w:rPr>
      </w:pPr>
      <w:r w:rsidRPr="00E93A50">
        <w:rPr>
          <w:b/>
          <w:szCs w:val="18"/>
          <w:lang w:val="es-ES_tradnl"/>
        </w:rPr>
        <w:t xml:space="preserve">I. </w:t>
      </w:r>
      <w:r w:rsidRPr="00E93A50">
        <w:rPr>
          <w:szCs w:val="18"/>
          <w:lang w:val="es-ES_tradnl"/>
        </w:rPr>
        <w:t xml:space="preserve">y </w:t>
      </w:r>
      <w:r w:rsidRPr="00E93A50">
        <w:rPr>
          <w:b/>
          <w:szCs w:val="18"/>
          <w:lang w:val="es-ES_tradnl"/>
        </w:rPr>
        <w:t>II. ...</w:t>
      </w:r>
    </w:p>
    <w:p w14:paraId="0457A4A9" w14:textId="77777777" w:rsidR="001271F2" w:rsidRPr="00E93A50" w:rsidRDefault="001271F2" w:rsidP="00865490">
      <w:pPr>
        <w:pStyle w:val="Texto"/>
        <w:spacing w:line="238" w:lineRule="exact"/>
        <w:rPr>
          <w:szCs w:val="18"/>
          <w:lang w:val="es-ES_tradnl"/>
        </w:rPr>
      </w:pPr>
      <w:r w:rsidRPr="00E93A50">
        <w:rPr>
          <w:szCs w:val="18"/>
          <w:lang w:val="es-ES_tradnl"/>
        </w:rPr>
        <w:t>Los supuestos referidos se sujetarán a lo establecido en esta Ley y de conformidad con las reglas de carácter general que expida la Comisión Nacional del Sistema de Ahorro para el Retiro.</w:t>
      </w:r>
    </w:p>
    <w:p w14:paraId="3154A67C" w14:textId="77777777" w:rsidR="001271F2" w:rsidRPr="00E93A50" w:rsidRDefault="001271F2" w:rsidP="00865490">
      <w:pPr>
        <w:pStyle w:val="Texto"/>
        <w:spacing w:line="238" w:lineRule="exact"/>
        <w:rPr>
          <w:szCs w:val="18"/>
          <w:lang w:val="es-ES_tradnl"/>
        </w:rPr>
      </w:pPr>
      <w:r w:rsidRPr="00E93A50">
        <w:rPr>
          <w:szCs w:val="18"/>
          <w:lang w:val="es-ES_tradnl"/>
        </w:rPr>
        <w:t>El asegurado que elija la opción prevista en la fracción II o ambas podrá, en cualquier momento, contratar una renta vitalicia de acuerdo a lo dispuesto en la fracción I, excepto cuando la renta mensual vitalicia a convenirse fuera inferior a la pensión garantizada que le corresponda conforme a las semanas de cotización, al salario base de cotización y a la edad de sesenta y cinco años, de la tabla establecida en el artículo 170 de esta Ley.</w:t>
      </w:r>
    </w:p>
    <w:p w14:paraId="1783BAA4" w14:textId="77777777" w:rsidR="001271F2" w:rsidRPr="00E93A50" w:rsidRDefault="001271F2" w:rsidP="00865490">
      <w:pPr>
        <w:pStyle w:val="Texto"/>
        <w:spacing w:line="238" w:lineRule="exact"/>
        <w:rPr>
          <w:szCs w:val="18"/>
          <w:lang w:val="es-ES_tradnl"/>
        </w:rPr>
      </w:pPr>
      <w:r w:rsidRPr="00E93A50">
        <w:rPr>
          <w:b/>
          <w:szCs w:val="18"/>
          <w:lang w:val="es-ES_tradnl"/>
        </w:rPr>
        <w:t xml:space="preserve">Artículo 165. </w:t>
      </w:r>
      <w:r w:rsidRPr="00E93A50">
        <w:rPr>
          <w:szCs w:val="18"/>
          <w:lang w:val="es-ES_tradnl"/>
        </w:rPr>
        <w:t>El asegurado tiene derecho a retirar, como ayuda para gastos de matrimonio, una cantidad equivalente a treinta Unidades de Medida y Actualización, proveniente de la cuota social que aporte el Estado en los términos de la fracción IV del artículo 168 de esta Ley para los trabajadores que reciban ésta, y con las aportaciones patronales a la Subcuenta de Retiro, Cesantía en Edad Avanzada y Vejez para los trabajadores que no reciban cuota social en sus cuentas individuales, conforme a los siguientes requisitos:</w:t>
      </w:r>
    </w:p>
    <w:p w14:paraId="339BE604" w14:textId="77777777" w:rsidR="001271F2" w:rsidRPr="00E93A50" w:rsidRDefault="001271F2" w:rsidP="00865490">
      <w:pPr>
        <w:pStyle w:val="Texto"/>
        <w:spacing w:line="238" w:lineRule="exact"/>
        <w:ind w:left="576" w:firstLine="0"/>
        <w:rPr>
          <w:b/>
          <w:szCs w:val="18"/>
          <w:lang w:val="es-ES_tradnl"/>
        </w:rPr>
      </w:pPr>
      <w:r w:rsidRPr="00E93A50">
        <w:rPr>
          <w:b/>
          <w:szCs w:val="18"/>
          <w:lang w:val="es-ES_tradnl"/>
        </w:rPr>
        <w:t xml:space="preserve">I. </w:t>
      </w:r>
      <w:r w:rsidRPr="00E93A50">
        <w:rPr>
          <w:szCs w:val="18"/>
          <w:lang w:val="es-ES_tradnl"/>
        </w:rPr>
        <w:t>a</w:t>
      </w:r>
      <w:r w:rsidRPr="00E93A50">
        <w:rPr>
          <w:b/>
          <w:szCs w:val="18"/>
          <w:lang w:val="es-ES_tradnl"/>
        </w:rPr>
        <w:t xml:space="preserve"> III. ...</w:t>
      </w:r>
    </w:p>
    <w:p w14:paraId="7ED40962" w14:textId="77777777" w:rsidR="001271F2" w:rsidRPr="00E93A50" w:rsidRDefault="001271F2" w:rsidP="00865490">
      <w:pPr>
        <w:pStyle w:val="Texto"/>
        <w:spacing w:line="238" w:lineRule="exact"/>
        <w:rPr>
          <w:szCs w:val="18"/>
          <w:lang w:val="es-MX"/>
        </w:rPr>
      </w:pPr>
      <w:r w:rsidRPr="00E93A50">
        <w:rPr>
          <w:b/>
          <w:szCs w:val="18"/>
          <w:lang w:val="es-ES_tradnl"/>
        </w:rPr>
        <w:t>...</w:t>
      </w:r>
    </w:p>
    <w:p w14:paraId="2778DDF4" w14:textId="77777777" w:rsidR="001271F2" w:rsidRPr="00E93A50" w:rsidRDefault="001271F2" w:rsidP="00865490">
      <w:pPr>
        <w:pStyle w:val="Texto"/>
        <w:spacing w:line="238" w:lineRule="exact"/>
        <w:rPr>
          <w:b/>
          <w:szCs w:val="18"/>
          <w:lang w:val="es-ES_tradnl"/>
        </w:rPr>
      </w:pPr>
      <w:r w:rsidRPr="00E93A50">
        <w:rPr>
          <w:b/>
          <w:szCs w:val="18"/>
          <w:lang w:val="es-ES_tradnl"/>
        </w:rPr>
        <w:lastRenderedPageBreak/>
        <w:t>Artículo 168. ...</w:t>
      </w:r>
    </w:p>
    <w:p w14:paraId="62E79C1A" w14:textId="77777777" w:rsidR="001271F2" w:rsidRPr="00E93A50" w:rsidRDefault="001271F2" w:rsidP="00865490">
      <w:pPr>
        <w:pStyle w:val="Texto"/>
        <w:spacing w:line="238" w:lineRule="exact"/>
        <w:ind w:left="1008" w:hanging="432"/>
        <w:rPr>
          <w:b/>
          <w:szCs w:val="18"/>
          <w:lang w:val="es-ES_tradnl"/>
        </w:rPr>
      </w:pPr>
      <w:r w:rsidRPr="00E93A50">
        <w:rPr>
          <w:b/>
          <w:szCs w:val="18"/>
          <w:lang w:val="es-ES_tradnl"/>
        </w:rPr>
        <w:t>I.</w:t>
      </w:r>
      <w:r w:rsidRPr="00E93A50">
        <w:rPr>
          <w:b/>
          <w:szCs w:val="18"/>
          <w:lang w:val="es-ES_tradnl"/>
        </w:rPr>
        <w:tab/>
        <w:t>...</w:t>
      </w:r>
    </w:p>
    <w:p w14:paraId="6A5C6FB4" w14:textId="77777777" w:rsidR="001271F2" w:rsidRPr="00E93A50" w:rsidRDefault="001271F2" w:rsidP="00865490">
      <w:pPr>
        <w:pStyle w:val="Texto"/>
        <w:spacing w:line="238" w:lineRule="exact"/>
        <w:ind w:left="1008" w:hanging="432"/>
        <w:rPr>
          <w:szCs w:val="18"/>
          <w:lang w:val="es-ES_tradnl"/>
        </w:rPr>
      </w:pPr>
      <w:r w:rsidRPr="00E93A50">
        <w:rPr>
          <w:b/>
          <w:szCs w:val="18"/>
          <w:lang w:val="es-ES_tradnl"/>
        </w:rPr>
        <w:t>II.</w:t>
      </w:r>
      <w:r w:rsidRPr="00E93A50">
        <w:rPr>
          <w:szCs w:val="18"/>
          <w:lang w:val="es-ES_tradnl"/>
        </w:rPr>
        <w:t xml:space="preserve"> </w:t>
      </w:r>
      <w:r w:rsidRPr="00E93A50">
        <w:rPr>
          <w:szCs w:val="18"/>
          <w:lang w:val="es-ES_tradnl"/>
        </w:rPr>
        <w:tab/>
        <w:t>En los ramos de cesantía en edad avanzada y vejez:</w:t>
      </w:r>
    </w:p>
    <w:p w14:paraId="7736398F" w14:textId="77777777" w:rsidR="001271F2" w:rsidRDefault="001271F2" w:rsidP="00865490">
      <w:pPr>
        <w:pStyle w:val="Texto"/>
        <w:spacing w:line="238" w:lineRule="exact"/>
        <w:ind w:left="1440" w:hanging="432"/>
        <w:rPr>
          <w:szCs w:val="18"/>
          <w:lang w:val="es-ES_tradnl"/>
        </w:rPr>
      </w:pPr>
      <w:r w:rsidRPr="00E93A50">
        <w:rPr>
          <w:b/>
          <w:szCs w:val="18"/>
          <w:lang w:val="es-ES_tradnl"/>
        </w:rPr>
        <w:t>a)</w:t>
      </w:r>
      <w:r w:rsidRPr="00E93A50">
        <w:rPr>
          <w:b/>
          <w:szCs w:val="18"/>
          <w:lang w:val="es-ES_tradnl"/>
        </w:rPr>
        <w:tab/>
      </w:r>
      <w:r w:rsidRPr="00E93A50">
        <w:rPr>
          <w:szCs w:val="18"/>
          <w:lang w:val="es-ES_tradnl"/>
        </w:rPr>
        <w:t>Los patrones cubrirán la cuota que corresponda sobre el salario base de cotización, calculada conforme a la siguiente tabla:</w:t>
      </w:r>
    </w:p>
    <w:tbl>
      <w:tblPr>
        <w:tblW w:w="0" w:type="auto"/>
        <w:jc w:val="center"/>
        <w:tblLayout w:type="fixed"/>
        <w:tblCellMar>
          <w:left w:w="40" w:type="dxa"/>
          <w:right w:w="40" w:type="dxa"/>
        </w:tblCellMar>
        <w:tblLook w:val="0000" w:firstRow="0" w:lastRow="0" w:firstColumn="0" w:lastColumn="0" w:noHBand="0" w:noVBand="0"/>
      </w:tblPr>
      <w:tblGrid>
        <w:gridCol w:w="5529"/>
        <w:gridCol w:w="1949"/>
      </w:tblGrid>
      <w:tr w:rsidR="001271F2" w:rsidRPr="009F767D" w14:paraId="11A3E725" w14:textId="77777777">
        <w:tblPrEx>
          <w:tblCellMar>
            <w:top w:w="0" w:type="dxa"/>
            <w:bottom w:w="0" w:type="dxa"/>
          </w:tblCellMar>
        </w:tblPrEx>
        <w:trPr>
          <w:jc w:val="center"/>
        </w:trPr>
        <w:tc>
          <w:tcPr>
            <w:tcW w:w="5529" w:type="dxa"/>
            <w:tcBorders>
              <w:top w:val="nil"/>
              <w:left w:val="nil"/>
              <w:bottom w:val="single" w:sz="6" w:space="0" w:color="auto"/>
              <w:right w:val="nil"/>
            </w:tcBorders>
            <w:vAlign w:val="center"/>
          </w:tcPr>
          <w:p w14:paraId="764B15BD" w14:textId="77777777" w:rsidR="001271F2" w:rsidRPr="00D123F4" w:rsidRDefault="001271F2" w:rsidP="00865490">
            <w:pPr>
              <w:pStyle w:val="Texto"/>
              <w:spacing w:line="238" w:lineRule="exact"/>
              <w:ind w:firstLine="0"/>
              <w:jc w:val="center"/>
              <w:rPr>
                <w:rStyle w:val="FontStyle51"/>
                <w:lang w:val="es-ES_tradnl" w:eastAsia="es-ES_tradnl"/>
              </w:rPr>
            </w:pPr>
            <w:r w:rsidRPr="00D123F4">
              <w:rPr>
                <w:rStyle w:val="FontStyle51"/>
                <w:lang w:val="es-ES_tradnl" w:eastAsia="es-ES_tradnl"/>
              </w:rPr>
              <w:t>Salario base de cotización del trabajador</w:t>
            </w:r>
          </w:p>
        </w:tc>
        <w:tc>
          <w:tcPr>
            <w:tcW w:w="1949" w:type="dxa"/>
            <w:tcBorders>
              <w:top w:val="nil"/>
              <w:left w:val="nil"/>
              <w:bottom w:val="single" w:sz="6" w:space="0" w:color="auto"/>
              <w:right w:val="nil"/>
            </w:tcBorders>
            <w:vAlign w:val="center"/>
          </w:tcPr>
          <w:p w14:paraId="398DD7FD" w14:textId="77777777" w:rsidR="001271F2" w:rsidRPr="00D123F4" w:rsidRDefault="001271F2" w:rsidP="00865490">
            <w:pPr>
              <w:pStyle w:val="Texto"/>
              <w:spacing w:line="238" w:lineRule="exact"/>
              <w:ind w:firstLine="0"/>
              <w:jc w:val="center"/>
              <w:rPr>
                <w:rStyle w:val="FontStyle51"/>
                <w:lang w:val="es-ES_tradnl" w:eastAsia="es-ES_tradnl"/>
              </w:rPr>
            </w:pPr>
            <w:r w:rsidRPr="00D123F4">
              <w:rPr>
                <w:rStyle w:val="FontStyle51"/>
                <w:lang w:val="es-ES_tradnl" w:eastAsia="es-ES_tradnl"/>
              </w:rPr>
              <w:t>Cuota Patronal</w:t>
            </w:r>
          </w:p>
        </w:tc>
      </w:tr>
      <w:tr w:rsidR="001271F2" w:rsidRPr="00545A54" w14:paraId="3E09AC0F" w14:textId="77777777">
        <w:tblPrEx>
          <w:tblCellMar>
            <w:top w:w="0" w:type="dxa"/>
            <w:bottom w:w="0" w:type="dxa"/>
          </w:tblCellMar>
        </w:tblPrEx>
        <w:trPr>
          <w:jc w:val="center"/>
        </w:trPr>
        <w:tc>
          <w:tcPr>
            <w:tcW w:w="5529" w:type="dxa"/>
            <w:tcBorders>
              <w:top w:val="single" w:sz="6" w:space="0" w:color="auto"/>
              <w:left w:val="nil"/>
              <w:bottom w:val="single" w:sz="6" w:space="0" w:color="auto"/>
              <w:right w:val="nil"/>
            </w:tcBorders>
            <w:vAlign w:val="center"/>
          </w:tcPr>
          <w:p w14:paraId="57E72EF0" w14:textId="77777777" w:rsidR="001271F2" w:rsidRPr="00D123F4" w:rsidRDefault="001271F2" w:rsidP="00865490">
            <w:pPr>
              <w:pStyle w:val="Texto"/>
              <w:spacing w:line="238" w:lineRule="exact"/>
              <w:ind w:firstLine="0"/>
              <w:jc w:val="center"/>
              <w:rPr>
                <w:rStyle w:val="FontStyle51"/>
                <w:lang w:val="es-ES_tradnl" w:eastAsia="es-ES_tradnl"/>
              </w:rPr>
            </w:pPr>
            <w:r w:rsidRPr="00D123F4">
              <w:rPr>
                <w:rStyle w:val="FontStyle51"/>
                <w:lang w:val="es-ES_tradnl" w:eastAsia="es-ES_tradnl"/>
              </w:rPr>
              <w:t>1.00 SM*</w:t>
            </w:r>
          </w:p>
        </w:tc>
        <w:tc>
          <w:tcPr>
            <w:tcW w:w="1949" w:type="dxa"/>
            <w:tcBorders>
              <w:top w:val="single" w:sz="6" w:space="0" w:color="auto"/>
              <w:left w:val="nil"/>
              <w:bottom w:val="single" w:sz="6" w:space="0" w:color="auto"/>
              <w:right w:val="nil"/>
            </w:tcBorders>
            <w:vAlign w:val="center"/>
          </w:tcPr>
          <w:p w14:paraId="5B008560" w14:textId="77777777" w:rsidR="001271F2" w:rsidRPr="00D123F4" w:rsidRDefault="001271F2" w:rsidP="00865490">
            <w:pPr>
              <w:pStyle w:val="Texto"/>
              <w:spacing w:line="238" w:lineRule="exact"/>
              <w:ind w:firstLine="0"/>
              <w:jc w:val="center"/>
              <w:rPr>
                <w:rStyle w:val="FontStyle51"/>
                <w:lang w:val="es-ES_tradnl" w:eastAsia="es-ES_tradnl"/>
              </w:rPr>
            </w:pPr>
            <w:r w:rsidRPr="00D123F4">
              <w:rPr>
                <w:rStyle w:val="FontStyle51"/>
                <w:lang w:val="es-ES_tradnl" w:eastAsia="es-ES_tradnl"/>
              </w:rPr>
              <w:t>3.150%</w:t>
            </w:r>
          </w:p>
        </w:tc>
      </w:tr>
      <w:tr w:rsidR="001271F2" w:rsidRPr="00545A54" w14:paraId="1CA3DA4C" w14:textId="77777777">
        <w:tblPrEx>
          <w:tblCellMar>
            <w:top w:w="0" w:type="dxa"/>
            <w:bottom w:w="0" w:type="dxa"/>
          </w:tblCellMar>
        </w:tblPrEx>
        <w:trPr>
          <w:jc w:val="center"/>
        </w:trPr>
        <w:tc>
          <w:tcPr>
            <w:tcW w:w="5529" w:type="dxa"/>
            <w:tcBorders>
              <w:top w:val="single" w:sz="6" w:space="0" w:color="auto"/>
              <w:left w:val="nil"/>
              <w:bottom w:val="single" w:sz="6" w:space="0" w:color="auto"/>
              <w:right w:val="nil"/>
            </w:tcBorders>
            <w:vAlign w:val="center"/>
          </w:tcPr>
          <w:p w14:paraId="141AA2C7" w14:textId="77777777" w:rsidR="001271F2" w:rsidRPr="00D123F4" w:rsidRDefault="001271F2" w:rsidP="00865490">
            <w:pPr>
              <w:pStyle w:val="Texto"/>
              <w:spacing w:line="238" w:lineRule="exact"/>
              <w:ind w:firstLine="0"/>
              <w:jc w:val="center"/>
              <w:rPr>
                <w:rStyle w:val="FontStyle51"/>
                <w:lang w:val="es-ES_tradnl" w:eastAsia="es-ES_tradnl"/>
              </w:rPr>
            </w:pPr>
            <w:r w:rsidRPr="00D123F4">
              <w:rPr>
                <w:rStyle w:val="FontStyle51"/>
                <w:lang w:val="es-ES_tradnl" w:eastAsia="es-ES_tradnl"/>
              </w:rPr>
              <w:t>1.01 SM a 1.50 U</w:t>
            </w:r>
            <w:r>
              <w:rPr>
                <w:rStyle w:val="FontStyle51"/>
                <w:lang w:val="es-ES_tradnl" w:eastAsia="es-ES_tradnl"/>
              </w:rPr>
              <w:t>M</w:t>
            </w:r>
            <w:r w:rsidRPr="00D123F4">
              <w:rPr>
                <w:rStyle w:val="FontStyle51"/>
                <w:lang w:val="es-ES_tradnl" w:eastAsia="es-ES_tradnl"/>
              </w:rPr>
              <w:t>A</w:t>
            </w:r>
            <w:r>
              <w:rPr>
                <w:rStyle w:val="FontStyle51"/>
                <w:lang w:val="es-ES_tradnl" w:eastAsia="es-ES_tradnl"/>
              </w:rPr>
              <w:t>**</w:t>
            </w:r>
          </w:p>
        </w:tc>
        <w:tc>
          <w:tcPr>
            <w:tcW w:w="1949" w:type="dxa"/>
            <w:tcBorders>
              <w:top w:val="single" w:sz="6" w:space="0" w:color="auto"/>
              <w:left w:val="nil"/>
              <w:bottom w:val="single" w:sz="6" w:space="0" w:color="auto"/>
              <w:right w:val="nil"/>
            </w:tcBorders>
            <w:vAlign w:val="center"/>
          </w:tcPr>
          <w:p w14:paraId="5CE37246" w14:textId="77777777" w:rsidR="001271F2" w:rsidRPr="00D123F4" w:rsidRDefault="001271F2" w:rsidP="00865490">
            <w:pPr>
              <w:pStyle w:val="Texto"/>
              <w:spacing w:line="238" w:lineRule="exact"/>
              <w:ind w:firstLine="0"/>
              <w:jc w:val="center"/>
              <w:rPr>
                <w:rStyle w:val="FontStyle51"/>
                <w:lang w:val="es-ES_tradnl" w:eastAsia="es-ES_tradnl"/>
              </w:rPr>
            </w:pPr>
            <w:r w:rsidRPr="00D123F4">
              <w:rPr>
                <w:rStyle w:val="FontStyle51"/>
                <w:lang w:val="es-ES_tradnl" w:eastAsia="es-ES_tradnl"/>
              </w:rPr>
              <w:t>4.202%</w:t>
            </w:r>
          </w:p>
        </w:tc>
      </w:tr>
      <w:tr w:rsidR="001271F2" w:rsidRPr="00545A54" w14:paraId="29CD8DAC" w14:textId="77777777">
        <w:tblPrEx>
          <w:tblCellMar>
            <w:top w:w="0" w:type="dxa"/>
            <w:bottom w:w="0" w:type="dxa"/>
          </w:tblCellMar>
        </w:tblPrEx>
        <w:trPr>
          <w:jc w:val="center"/>
        </w:trPr>
        <w:tc>
          <w:tcPr>
            <w:tcW w:w="5529" w:type="dxa"/>
            <w:tcBorders>
              <w:top w:val="single" w:sz="6" w:space="0" w:color="auto"/>
              <w:left w:val="nil"/>
              <w:bottom w:val="single" w:sz="6" w:space="0" w:color="auto"/>
              <w:right w:val="nil"/>
            </w:tcBorders>
            <w:vAlign w:val="center"/>
          </w:tcPr>
          <w:p w14:paraId="54FA5A8B" w14:textId="77777777" w:rsidR="001271F2" w:rsidRPr="00D123F4" w:rsidRDefault="001271F2" w:rsidP="00865490">
            <w:pPr>
              <w:pStyle w:val="Texto"/>
              <w:spacing w:line="238" w:lineRule="exact"/>
              <w:ind w:firstLine="0"/>
              <w:jc w:val="center"/>
              <w:rPr>
                <w:rStyle w:val="FontStyle51"/>
                <w:lang w:val="es-ES_tradnl" w:eastAsia="es-ES_tradnl"/>
              </w:rPr>
            </w:pPr>
            <w:r w:rsidRPr="00D123F4">
              <w:rPr>
                <w:rStyle w:val="FontStyle51"/>
                <w:lang w:val="es-ES_tradnl" w:eastAsia="es-ES_tradnl"/>
              </w:rPr>
              <w:t>1.51 a 2.00 UMA</w:t>
            </w:r>
          </w:p>
        </w:tc>
        <w:tc>
          <w:tcPr>
            <w:tcW w:w="1949" w:type="dxa"/>
            <w:tcBorders>
              <w:top w:val="single" w:sz="6" w:space="0" w:color="auto"/>
              <w:left w:val="nil"/>
              <w:bottom w:val="single" w:sz="6" w:space="0" w:color="auto"/>
              <w:right w:val="nil"/>
            </w:tcBorders>
            <w:vAlign w:val="center"/>
          </w:tcPr>
          <w:p w14:paraId="23706488" w14:textId="77777777" w:rsidR="001271F2" w:rsidRPr="00D123F4" w:rsidRDefault="001271F2" w:rsidP="00865490">
            <w:pPr>
              <w:pStyle w:val="Texto"/>
              <w:spacing w:line="238" w:lineRule="exact"/>
              <w:ind w:firstLine="0"/>
              <w:jc w:val="center"/>
              <w:rPr>
                <w:rStyle w:val="FontStyle51"/>
                <w:lang w:val="es-ES_tradnl" w:eastAsia="es-ES_tradnl"/>
              </w:rPr>
            </w:pPr>
            <w:r w:rsidRPr="00D123F4">
              <w:rPr>
                <w:rStyle w:val="FontStyle51"/>
                <w:lang w:val="es-ES_tradnl" w:eastAsia="es-ES_tradnl"/>
              </w:rPr>
              <w:t>6.552%</w:t>
            </w:r>
          </w:p>
        </w:tc>
      </w:tr>
      <w:tr w:rsidR="001271F2" w:rsidRPr="00545A54" w14:paraId="7EC4AB92" w14:textId="77777777">
        <w:tblPrEx>
          <w:tblCellMar>
            <w:top w:w="0" w:type="dxa"/>
            <w:bottom w:w="0" w:type="dxa"/>
          </w:tblCellMar>
        </w:tblPrEx>
        <w:trPr>
          <w:jc w:val="center"/>
        </w:trPr>
        <w:tc>
          <w:tcPr>
            <w:tcW w:w="5529" w:type="dxa"/>
            <w:tcBorders>
              <w:top w:val="single" w:sz="6" w:space="0" w:color="auto"/>
              <w:left w:val="nil"/>
              <w:bottom w:val="single" w:sz="6" w:space="0" w:color="auto"/>
              <w:right w:val="nil"/>
            </w:tcBorders>
            <w:vAlign w:val="center"/>
          </w:tcPr>
          <w:p w14:paraId="4DC0D846" w14:textId="77777777" w:rsidR="001271F2" w:rsidRPr="00D123F4" w:rsidRDefault="001271F2" w:rsidP="00865490">
            <w:pPr>
              <w:pStyle w:val="Texto"/>
              <w:spacing w:line="238" w:lineRule="exact"/>
              <w:ind w:firstLine="0"/>
              <w:jc w:val="center"/>
              <w:rPr>
                <w:rStyle w:val="FontStyle51"/>
                <w:lang w:val="es-ES_tradnl" w:eastAsia="es-ES_tradnl"/>
              </w:rPr>
            </w:pPr>
            <w:r w:rsidRPr="00D123F4">
              <w:rPr>
                <w:rStyle w:val="FontStyle51"/>
                <w:lang w:val="es-ES_tradnl" w:eastAsia="es-ES_tradnl"/>
              </w:rPr>
              <w:t>2.01 a 2.50 UMA</w:t>
            </w:r>
          </w:p>
        </w:tc>
        <w:tc>
          <w:tcPr>
            <w:tcW w:w="1949" w:type="dxa"/>
            <w:tcBorders>
              <w:top w:val="single" w:sz="6" w:space="0" w:color="auto"/>
              <w:left w:val="nil"/>
              <w:bottom w:val="single" w:sz="6" w:space="0" w:color="auto"/>
              <w:right w:val="nil"/>
            </w:tcBorders>
            <w:vAlign w:val="center"/>
          </w:tcPr>
          <w:p w14:paraId="7A35D8A2" w14:textId="77777777" w:rsidR="001271F2" w:rsidRPr="00D123F4" w:rsidRDefault="001271F2" w:rsidP="00865490">
            <w:pPr>
              <w:pStyle w:val="Texto"/>
              <w:spacing w:line="238" w:lineRule="exact"/>
              <w:ind w:firstLine="0"/>
              <w:jc w:val="center"/>
              <w:rPr>
                <w:rStyle w:val="FontStyle51"/>
                <w:lang w:val="es-ES_tradnl" w:eastAsia="es-ES_tradnl"/>
              </w:rPr>
            </w:pPr>
            <w:r w:rsidRPr="00D123F4">
              <w:rPr>
                <w:rStyle w:val="FontStyle51"/>
                <w:lang w:val="es-ES_tradnl" w:eastAsia="es-ES_tradnl"/>
              </w:rPr>
              <w:t>7.962%</w:t>
            </w:r>
          </w:p>
        </w:tc>
      </w:tr>
      <w:tr w:rsidR="001271F2" w:rsidRPr="00545A54" w14:paraId="3A99BBEB" w14:textId="77777777">
        <w:tblPrEx>
          <w:tblCellMar>
            <w:top w:w="0" w:type="dxa"/>
            <w:bottom w:w="0" w:type="dxa"/>
          </w:tblCellMar>
        </w:tblPrEx>
        <w:trPr>
          <w:jc w:val="center"/>
        </w:trPr>
        <w:tc>
          <w:tcPr>
            <w:tcW w:w="5529" w:type="dxa"/>
            <w:tcBorders>
              <w:top w:val="single" w:sz="6" w:space="0" w:color="auto"/>
              <w:left w:val="nil"/>
              <w:bottom w:val="single" w:sz="6" w:space="0" w:color="auto"/>
              <w:right w:val="nil"/>
            </w:tcBorders>
            <w:vAlign w:val="center"/>
          </w:tcPr>
          <w:p w14:paraId="59F6EF75" w14:textId="77777777" w:rsidR="001271F2" w:rsidRPr="00D123F4" w:rsidRDefault="001271F2" w:rsidP="00865490">
            <w:pPr>
              <w:pStyle w:val="Texto"/>
              <w:spacing w:line="238" w:lineRule="exact"/>
              <w:ind w:firstLine="0"/>
              <w:jc w:val="center"/>
              <w:rPr>
                <w:rStyle w:val="FontStyle51"/>
                <w:lang w:val="es-ES_tradnl" w:eastAsia="es-ES_tradnl"/>
              </w:rPr>
            </w:pPr>
            <w:r w:rsidRPr="00D123F4">
              <w:rPr>
                <w:rStyle w:val="FontStyle51"/>
                <w:lang w:val="es-ES_tradnl" w:eastAsia="es-ES_tradnl"/>
              </w:rPr>
              <w:t>2.51 a 3.00 UMA</w:t>
            </w:r>
          </w:p>
        </w:tc>
        <w:tc>
          <w:tcPr>
            <w:tcW w:w="1949" w:type="dxa"/>
            <w:tcBorders>
              <w:top w:val="single" w:sz="6" w:space="0" w:color="auto"/>
              <w:left w:val="nil"/>
              <w:bottom w:val="single" w:sz="6" w:space="0" w:color="auto"/>
              <w:right w:val="nil"/>
            </w:tcBorders>
            <w:vAlign w:val="center"/>
          </w:tcPr>
          <w:p w14:paraId="714D393D" w14:textId="77777777" w:rsidR="001271F2" w:rsidRPr="00D123F4" w:rsidRDefault="001271F2" w:rsidP="00865490">
            <w:pPr>
              <w:pStyle w:val="Texto"/>
              <w:spacing w:line="238" w:lineRule="exact"/>
              <w:ind w:firstLine="0"/>
              <w:jc w:val="center"/>
              <w:rPr>
                <w:rStyle w:val="FontStyle51"/>
                <w:lang w:val="es-ES_tradnl" w:eastAsia="es-ES_tradnl"/>
              </w:rPr>
            </w:pPr>
            <w:r w:rsidRPr="00D123F4">
              <w:rPr>
                <w:rStyle w:val="FontStyle51"/>
                <w:lang w:val="es-ES_tradnl" w:eastAsia="es-ES_tradnl"/>
              </w:rPr>
              <w:t>8.902%</w:t>
            </w:r>
          </w:p>
        </w:tc>
      </w:tr>
      <w:tr w:rsidR="001271F2" w:rsidRPr="00545A54" w14:paraId="7D0BD682" w14:textId="77777777">
        <w:tblPrEx>
          <w:tblCellMar>
            <w:top w:w="0" w:type="dxa"/>
            <w:bottom w:w="0" w:type="dxa"/>
          </w:tblCellMar>
        </w:tblPrEx>
        <w:trPr>
          <w:jc w:val="center"/>
        </w:trPr>
        <w:tc>
          <w:tcPr>
            <w:tcW w:w="5529" w:type="dxa"/>
            <w:tcBorders>
              <w:top w:val="single" w:sz="6" w:space="0" w:color="auto"/>
              <w:left w:val="nil"/>
              <w:bottom w:val="single" w:sz="6" w:space="0" w:color="auto"/>
              <w:right w:val="nil"/>
            </w:tcBorders>
            <w:vAlign w:val="center"/>
          </w:tcPr>
          <w:p w14:paraId="36CAE96F" w14:textId="77777777" w:rsidR="001271F2" w:rsidRPr="00D123F4" w:rsidRDefault="001271F2" w:rsidP="00865490">
            <w:pPr>
              <w:pStyle w:val="Texto"/>
              <w:spacing w:line="238" w:lineRule="exact"/>
              <w:ind w:firstLine="0"/>
              <w:jc w:val="center"/>
              <w:rPr>
                <w:rStyle w:val="FontStyle51"/>
                <w:lang w:val="es-ES_tradnl" w:eastAsia="es-ES_tradnl"/>
              </w:rPr>
            </w:pPr>
            <w:r w:rsidRPr="00D123F4">
              <w:rPr>
                <w:rStyle w:val="FontStyle51"/>
                <w:lang w:val="es-ES_tradnl" w:eastAsia="es-ES_tradnl"/>
              </w:rPr>
              <w:t>3.01 a 3.50 UMA</w:t>
            </w:r>
          </w:p>
        </w:tc>
        <w:tc>
          <w:tcPr>
            <w:tcW w:w="1949" w:type="dxa"/>
            <w:tcBorders>
              <w:top w:val="single" w:sz="6" w:space="0" w:color="auto"/>
              <w:left w:val="nil"/>
              <w:bottom w:val="single" w:sz="6" w:space="0" w:color="auto"/>
              <w:right w:val="nil"/>
            </w:tcBorders>
            <w:vAlign w:val="center"/>
          </w:tcPr>
          <w:p w14:paraId="216A109B" w14:textId="77777777" w:rsidR="001271F2" w:rsidRPr="00D123F4" w:rsidRDefault="001271F2" w:rsidP="00865490">
            <w:pPr>
              <w:pStyle w:val="Texto"/>
              <w:spacing w:line="238" w:lineRule="exact"/>
              <w:ind w:firstLine="0"/>
              <w:jc w:val="center"/>
              <w:rPr>
                <w:rStyle w:val="FontStyle51"/>
                <w:lang w:val="es-ES_tradnl" w:eastAsia="es-ES_tradnl"/>
              </w:rPr>
            </w:pPr>
            <w:r w:rsidRPr="00D123F4">
              <w:rPr>
                <w:rStyle w:val="FontStyle51"/>
                <w:lang w:val="es-ES_tradnl" w:eastAsia="es-ES_tradnl"/>
              </w:rPr>
              <w:t>9.573%</w:t>
            </w:r>
          </w:p>
        </w:tc>
      </w:tr>
      <w:tr w:rsidR="001271F2" w:rsidRPr="00545A54" w14:paraId="0CB75B71" w14:textId="77777777">
        <w:tblPrEx>
          <w:tblCellMar>
            <w:top w:w="0" w:type="dxa"/>
            <w:bottom w:w="0" w:type="dxa"/>
          </w:tblCellMar>
        </w:tblPrEx>
        <w:trPr>
          <w:jc w:val="center"/>
        </w:trPr>
        <w:tc>
          <w:tcPr>
            <w:tcW w:w="5529" w:type="dxa"/>
            <w:tcBorders>
              <w:top w:val="single" w:sz="6" w:space="0" w:color="auto"/>
              <w:left w:val="nil"/>
              <w:bottom w:val="single" w:sz="6" w:space="0" w:color="auto"/>
              <w:right w:val="nil"/>
            </w:tcBorders>
            <w:vAlign w:val="center"/>
          </w:tcPr>
          <w:p w14:paraId="4A312F03" w14:textId="77777777" w:rsidR="001271F2" w:rsidRPr="00D123F4" w:rsidRDefault="001271F2" w:rsidP="00865490">
            <w:pPr>
              <w:pStyle w:val="Texto"/>
              <w:spacing w:line="238" w:lineRule="exact"/>
              <w:ind w:firstLine="0"/>
              <w:jc w:val="center"/>
              <w:rPr>
                <w:rStyle w:val="FontStyle51"/>
                <w:lang w:val="es-ES_tradnl" w:eastAsia="es-ES_tradnl"/>
              </w:rPr>
            </w:pPr>
            <w:r w:rsidRPr="00D123F4">
              <w:rPr>
                <w:rStyle w:val="FontStyle51"/>
                <w:lang w:val="es-ES_tradnl" w:eastAsia="es-ES_tradnl"/>
              </w:rPr>
              <w:t>3.51 a 4.00 UMA</w:t>
            </w:r>
          </w:p>
        </w:tc>
        <w:tc>
          <w:tcPr>
            <w:tcW w:w="1949" w:type="dxa"/>
            <w:tcBorders>
              <w:top w:val="single" w:sz="6" w:space="0" w:color="auto"/>
              <w:left w:val="nil"/>
              <w:bottom w:val="single" w:sz="6" w:space="0" w:color="auto"/>
              <w:right w:val="nil"/>
            </w:tcBorders>
            <w:vAlign w:val="center"/>
          </w:tcPr>
          <w:p w14:paraId="5BE5749C" w14:textId="77777777" w:rsidR="001271F2" w:rsidRPr="00D123F4" w:rsidRDefault="001271F2" w:rsidP="00865490">
            <w:pPr>
              <w:pStyle w:val="Texto"/>
              <w:spacing w:line="238" w:lineRule="exact"/>
              <w:ind w:firstLine="0"/>
              <w:jc w:val="center"/>
              <w:rPr>
                <w:rStyle w:val="FontStyle51"/>
                <w:lang w:val="es-ES_tradnl" w:eastAsia="es-ES_tradnl"/>
              </w:rPr>
            </w:pPr>
            <w:r w:rsidRPr="00D123F4">
              <w:rPr>
                <w:rStyle w:val="FontStyle51"/>
                <w:lang w:val="es-ES_tradnl" w:eastAsia="es-ES_tradnl"/>
              </w:rPr>
              <w:t>10.077%</w:t>
            </w:r>
          </w:p>
        </w:tc>
      </w:tr>
      <w:tr w:rsidR="001271F2" w:rsidRPr="00545A54" w14:paraId="5A5893D8" w14:textId="77777777">
        <w:tblPrEx>
          <w:tblCellMar>
            <w:top w:w="0" w:type="dxa"/>
            <w:bottom w:w="0" w:type="dxa"/>
          </w:tblCellMar>
        </w:tblPrEx>
        <w:trPr>
          <w:jc w:val="center"/>
        </w:trPr>
        <w:tc>
          <w:tcPr>
            <w:tcW w:w="5529" w:type="dxa"/>
            <w:tcBorders>
              <w:top w:val="single" w:sz="6" w:space="0" w:color="auto"/>
              <w:left w:val="nil"/>
              <w:bottom w:val="single" w:sz="4" w:space="0" w:color="auto"/>
              <w:right w:val="nil"/>
            </w:tcBorders>
            <w:vAlign w:val="center"/>
          </w:tcPr>
          <w:p w14:paraId="713BBE90" w14:textId="77777777" w:rsidR="001271F2" w:rsidRPr="00D123F4" w:rsidRDefault="001271F2" w:rsidP="00865490">
            <w:pPr>
              <w:pStyle w:val="Texto"/>
              <w:spacing w:line="238" w:lineRule="exact"/>
              <w:ind w:firstLine="0"/>
              <w:jc w:val="center"/>
              <w:rPr>
                <w:rStyle w:val="FontStyle51"/>
                <w:lang w:val="es-ES_tradnl" w:eastAsia="es-ES_tradnl"/>
              </w:rPr>
            </w:pPr>
            <w:r w:rsidRPr="00D123F4">
              <w:rPr>
                <w:rStyle w:val="FontStyle51"/>
                <w:lang w:val="es-ES_tradnl" w:eastAsia="es-ES_tradnl"/>
              </w:rPr>
              <w:t>4.01 UMA en adelante</w:t>
            </w:r>
          </w:p>
        </w:tc>
        <w:tc>
          <w:tcPr>
            <w:tcW w:w="1949" w:type="dxa"/>
            <w:tcBorders>
              <w:top w:val="single" w:sz="6" w:space="0" w:color="auto"/>
              <w:left w:val="nil"/>
              <w:bottom w:val="single" w:sz="4" w:space="0" w:color="auto"/>
              <w:right w:val="nil"/>
            </w:tcBorders>
            <w:vAlign w:val="center"/>
          </w:tcPr>
          <w:p w14:paraId="1C0A8337" w14:textId="77777777" w:rsidR="001271F2" w:rsidRPr="00D123F4" w:rsidRDefault="001271F2" w:rsidP="00865490">
            <w:pPr>
              <w:pStyle w:val="Texto"/>
              <w:spacing w:line="238" w:lineRule="exact"/>
              <w:ind w:firstLine="0"/>
              <w:jc w:val="center"/>
              <w:rPr>
                <w:rStyle w:val="FontStyle51"/>
                <w:lang w:val="es-ES_tradnl" w:eastAsia="es-ES_tradnl"/>
              </w:rPr>
            </w:pPr>
            <w:r w:rsidRPr="00D123F4">
              <w:rPr>
                <w:rStyle w:val="FontStyle51"/>
                <w:lang w:val="es-ES_tradnl" w:eastAsia="es-ES_tradnl"/>
              </w:rPr>
              <w:t>11.875%</w:t>
            </w:r>
          </w:p>
        </w:tc>
      </w:tr>
      <w:tr w:rsidR="001271F2" w:rsidRPr="005D2014" w14:paraId="3222A94E" w14:textId="77777777">
        <w:tblPrEx>
          <w:tblCellMar>
            <w:top w:w="0" w:type="dxa"/>
            <w:bottom w:w="0" w:type="dxa"/>
          </w:tblCellMar>
        </w:tblPrEx>
        <w:trPr>
          <w:jc w:val="center"/>
        </w:trPr>
        <w:tc>
          <w:tcPr>
            <w:tcW w:w="5529" w:type="dxa"/>
            <w:tcBorders>
              <w:top w:val="single" w:sz="4" w:space="0" w:color="auto"/>
              <w:left w:val="nil"/>
              <w:right w:val="nil"/>
            </w:tcBorders>
            <w:vAlign w:val="center"/>
          </w:tcPr>
          <w:p w14:paraId="132CAE85" w14:textId="77777777" w:rsidR="001271F2" w:rsidRPr="00D123F4" w:rsidRDefault="001271F2" w:rsidP="00865490">
            <w:pPr>
              <w:pStyle w:val="Texto"/>
              <w:spacing w:line="238" w:lineRule="exact"/>
              <w:ind w:left="1798" w:firstLine="0"/>
              <w:jc w:val="left"/>
              <w:rPr>
                <w:rStyle w:val="FontStyle52"/>
                <w:lang w:val="es-ES_tradnl" w:eastAsia="es-ES_tradnl"/>
              </w:rPr>
            </w:pPr>
            <w:r w:rsidRPr="00D123F4">
              <w:rPr>
                <w:rStyle w:val="FontStyle52"/>
                <w:lang w:val="es-ES_tradnl" w:eastAsia="es-ES_tradnl"/>
              </w:rPr>
              <w:t>*Salario Mínimo</w:t>
            </w:r>
          </w:p>
          <w:p w14:paraId="342FF11E" w14:textId="77777777" w:rsidR="001271F2" w:rsidRPr="00D123F4" w:rsidRDefault="001271F2" w:rsidP="00865490">
            <w:pPr>
              <w:pStyle w:val="Texto"/>
              <w:spacing w:line="238" w:lineRule="exact"/>
              <w:ind w:left="1798" w:firstLine="0"/>
              <w:jc w:val="left"/>
              <w:rPr>
                <w:rStyle w:val="FontStyle51"/>
                <w:lang w:val="es-ES_tradnl" w:eastAsia="es-ES_tradnl"/>
              </w:rPr>
            </w:pPr>
            <w:r w:rsidRPr="00D123F4">
              <w:rPr>
                <w:rStyle w:val="FontStyle52"/>
              </w:rPr>
              <w:t>**</w:t>
            </w:r>
            <w:r w:rsidRPr="00D123F4">
              <w:rPr>
                <w:rStyle w:val="FontStyle52"/>
                <w:lang w:val="es-ES_tradnl" w:eastAsia="es-ES_tradnl"/>
              </w:rPr>
              <w:t xml:space="preserve"> Unidad de Medida y Actualización</w:t>
            </w:r>
          </w:p>
        </w:tc>
        <w:tc>
          <w:tcPr>
            <w:tcW w:w="1949" w:type="dxa"/>
            <w:tcBorders>
              <w:top w:val="single" w:sz="4" w:space="0" w:color="auto"/>
              <w:left w:val="nil"/>
              <w:right w:val="nil"/>
            </w:tcBorders>
            <w:vAlign w:val="center"/>
          </w:tcPr>
          <w:p w14:paraId="2E41ECB5" w14:textId="77777777" w:rsidR="001271F2" w:rsidRPr="00D123F4" w:rsidRDefault="001271F2" w:rsidP="00865490">
            <w:pPr>
              <w:pStyle w:val="Texto"/>
              <w:spacing w:line="238" w:lineRule="exact"/>
              <w:ind w:firstLine="0"/>
              <w:jc w:val="center"/>
              <w:rPr>
                <w:rStyle w:val="FontStyle51"/>
                <w:lang w:val="es-ES_tradnl" w:eastAsia="es-ES_tradnl"/>
              </w:rPr>
            </w:pPr>
          </w:p>
        </w:tc>
      </w:tr>
    </w:tbl>
    <w:p w14:paraId="76C5EF19" w14:textId="77777777" w:rsidR="001271F2" w:rsidRPr="00D123F4" w:rsidRDefault="001271F2" w:rsidP="00865490">
      <w:pPr>
        <w:pStyle w:val="Texto"/>
        <w:spacing w:line="238" w:lineRule="exact"/>
        <w:rPr>
          <w:lang w:val="es-ES_tradnl"/>
        </w:rPr>
      </w:pPr>
    </w:p>
    <w:p w14:paraId="22728327" w14:textId="77777777" w:rsidR="001271F2" w:rsidRPr="00E93A50" w:rsidRDefault="001271F2" w:rsidP="00865490">
      <w:pPr>
        <w:pStyle w:val="Texto"/>
        <w:spacing w:line="238" w:lineRule="exact"/>
        <w:ind w:left="1440" w:hanging="432"/>
        <w:rPr>
          <w:szCs w:val="18"/>
          <w:lang w:val="es-ES_tradnl"/>
        </w:rPr>
      </w:pPr>
      <w:r w:rsidRPr="00D123F4">
        <w:rPr>
          <w:b/>
          <w:szCs w:val="18"/>
          <w:lang w:val="es-ES_tradnl"/>
        </w:rPr>
        <w:t>b)</w:t>
      </w:r>
      <w:r w:rsidRPr="00D123F4">
        <w:rPr>
          <w:b/>
          <w:szCs w:val="18"/>
          <w:lang w:val="es-ES_tradnl"/>
        </w:rPr>
        <w:tab/>
      </w:r>
      <w:r w:rsidRPr="00E93A50">
        <w:rPr>
          <w:szCs w:val="18"/>
          <w:lang w:val="es-ES_tradnl"/>
        </w:rPr>
        <w:t>Los trabajadores cubrirán una cuota del uno punto ciento veinticinco por ciento sobre el salario base de cotización.</w:t>
      </w:r>
    </w:p>
    <w:p w14:paraId="1E1E2664" w14:textId="77777777" w:rsidR="001271F2" w:rsidRPr="00E93A50" w:rsidRDefault="001271F2" w:rsidP="00865490">
      <w:pPr>
        <w:pStyle w:val="Texto"/>
        <w:spacing w:line="238" w:lineRule="exact"/>
        <w:ind w:left="1008" w:hanging="432"/>
        <w:rPr>
          <w:b/>
          <w:szCs w:val="18"/>
          <w:lang w:val="es-ES_tradnl"/>
        </w:rPr>
      </w:pPr>
      <w:r w:rsidRPr="00E93A50">
        <w:rPr>
          <w:b/>
          <w:szCs w:val="18"/>
          <w:lang w:val="es-ES_tradnl"/>
        </w:rPr>
        <w:t>III.</w:t>
      </w:r>
      <w:r w:rsidRPr="00E93A50">
        <w:rPr>
          <w:b/>
          <w:szCs w:val="18"/>
          <w:lang w:val="es-ES_tradnl"/>
        </w:rPr>
        <w:tab/>
      </w:r>
      <w:r w:rsidRPr="00E93A50">
        <w:rPr>
          <w:szCs w:val="18"/>
          <w:lang w:val="es-ES_tradnl"/>
        </w:rPr>
        <w:t>Se deroga.</w:t>
      </w:r>
    </w:p>
    <w:p w14:paraId="05B39F27" w14:textId="77777777" w:rsidR="001271F2" w:rsidRDefault="001271F2" w:rsidP="00865490">
      <w:pPr>
        <w:pStyle w:val="Texto"/>
        <w:spacing w:line="238" w:lineRule="exact"/>
        <w:ind w:left="1008" w:hanging="432"/>
        <w:rPr>
          <w:szCs w:val="18"/>
          <w:lang w:val="es-ES_tradnl"/>
        </w:rPr>
      </w:pPr>
      <w:r w:rsidRPr="00E93A50">
        <w:rPr>
          <w:b/>
          <w:szCs w:val="18"/>
          <w:lang w:val="es-ES_tradnl"/>
        </w:rPr>
        <w:t>IV.</w:t>
      </w:r>
      <w:r w:rsidRPr="00E93A50">
        <w:rPr>
          <w:b/>
          <w:szCs w:val="18"/>
          <w:lang w:val="es-ES_tradnl"/>
        </w:rPr>
        <w:tab/>
      </w:r>
      <w:r w:rsidRPr="00E93A50">
        <w:rPr>
          <w:szCs w:val="18"/>
          <w:lang w:val="es-ES_tradnl"/>
        </w:rPr>
        <w:t>El Gobierno Federal, por cada día de salario cotizado, aportará mensualmente una cantidad por concepto de la cuota social, para los trabajadores que ganen hasta cuatro veces la unidad de medida y actualización, que se depositará en la cuenta individual de cada trabajador asegurado conforme a la tabla siguiente:</w:t>
      </w:r>
    </w:p>
    <w:p w14:paraId="56ED3FF5" w14:textId="77777777" w:rsidR="001271F2" w:rsidRDefault="008065AF" w:rsidP="00865490">
      <w:pPr>
        <w:pStyle w:val="Texto"/>
        <w:spacing w:line="240" w:lineRule="auto"/>
        <w:ind w:firstLine="0"/>
        <w:jc w:val="center"/>
        <w:rPr>
          <w:szCs w:val="18"/>
          <w:lang w:val="es-MX"/>
        </w:rPr>
      </w:pPr>
      <w:r w:rsidRPr="00A9790E">
        <w:rPr>
          <w:noProof/>
          <w:szCs w:val="18"/>
          <w:lang w:val="es-MX"/>
        </w:rPr>
        <w:drawing>
          <wp:inline distT="0" distB="0" distL="0" distR="0" wp14:anchorId="2BBB0019" wp14:editId="3FFF916E">
            <wp:extent cx="5613400" cy="237490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2374900"/>
                    </a:xfrm>
                    <a:prstGeom prst="rect">
                      <a:avLst/>
                    </a:prstGeom>
                    <a:noFill/>
                    <a:ln>
                      <a:noFill/>
                    </a:ln>
                  </pic:spPr>
                </pic:pic>
              </a:graphicData>
            </a:graphic>
          </wp:inline>
        </w:drawing>
      </w:r>
    </w:p>
    <w:p w14:paraId="66BB7AF6" w14:textId="77777777" w:rsidR="001271F2" w:rsidRPr="00E93A50" w:rsidRDefault="001271F2" w:rsidP="00865490">
      <w:pPr>
        <w:pStyle w:val="Texto"/>
        <w:ind w:left="1008" w:hanging="432"/>
        <w:rPr>
          <w:b/>
          <w:szCs w:val="18"/>
          <w:lang w:val="es-MX"/>
        </w:rPr>
      </w:pPr>
      <w:r>
        <w:rPr>
          <w:b/>
          <w:szCs w:val="18"/>
          <w:lang w:val="es-MX"/>
        </w:rPr>
        <w:tab/>
      </w:r>
      <w:r w:rsidRPr="00E93A50">
        <w:rPr>
          <w:b/>
          <w:szCs w:val="18"/>
          <w:lang w:val="es-MX"/>
        </w:rPr>
        <w:t>...</w:t>
      </w:r>
    </w:p>
    <w:p w14:paraId="41690ADB" w14:textId="77777777" w:rsidR="001271F2" w:rsidRPr="00E93A50" w:rsidRDefault="001271F2" w:rsidP="00865490">
      <w:pPr>
        <w:pStyle w:val="Texto"/>
        <w:spacing w:line="258" w:lineRule="exact"/>
        <w:rPr>
          <w:b/>
          <w:szCs w:val="18"/>
          <w:lang w:val="es-MX"/>
        </w:rPr>
      </w:pPr>
      <w:r w:rsidRPr="00E93A50">
        <w:rPr>
          <w:b/>
          <w:szCs w:val="18"/>
          <w:lang w:val="es-MX"/>
        </w:rPr>
        <w:t>...</w:t>
      </w:r>
    </w:p>
    <w:p w14:paraId="75D24514" w14:textId="77777777" w:rsidR="001271F2" w:rsidRDefault="001271F2" w:rsidP="00865490">
      <w:pPr>
        <w:pStyle w:val="Texto"/>
        <w:spacing w:line="258" w:lineRule="exact"/>
        <w:rPr>
          <w:szCs w:val="18"/>
          <w:lang w:val="es-ES_tradnl"/>
        </w:rPr>
      </w:pPr>
      <w:r w:rsidRPr="00E93A50">
        <w:rPr>
          <w:b/>
          <w:szCs w:val="18"/>
          <w:lang w:val="es-ES_tradnl"/>
        </w:rPr>
        <w:t xml:space="preserve">Artículo 170. </w:t>
      </w:r>
      <w:r w:rsidRPr="00E93A50">
        <w:rPr>
          <w:szCs w:val="18"/>
          <w:lang w:val="es-ES_tradnl"/>
        </w:rPr>
        <w:t xml:space="preserve">Pensión garantizada es aquélla que el Estado asegura a quienes tengan sesenta años o más de edad, hayan cotizado mil o más semanas y que se calculará conforme a la tabla prevista en este artículo, considerando el promedio de su salario base de cotización durante su afiliación al Instituto. Para </w:t>
      </w:r>
      <w:r w:rsidRPr="00E93A50">
        <w:rPr>
          <w:szCs w:val="18"/>
          <w:lang w:val="es-ES_tradnl"/>
        </w:rPr>
        <w:lastRenderedPageBreak/>
        <w:t>estos efectos, el salario señalado se actualizará conforme al Índice Nacional de Precios al Consumidor a la fecha en que se pensione el trabajador.</w:t>
      </w:r>
    </w:p>
    <w:p w14:paraId="1EB10216" w14:textId="77777777" w:rsidR="001271F2" w:rsidRDefault="008065AF" w:rsidP="00865490">
      <w:pPr>
        <w:pStyle w:val="Texto"/>
        <w:spacing w:after="100" w:line="240" w:lineRule="auto"/>
        <w:ind w:firstLine="0"/>
        <w:jc w:val="center"/>
      </w:pPr>
      <w:r>
        <w:rPr>
          <w:noProof/>
        </w:rPr>
        <w:drawing>
          <wp:inline distT="0" distB="0" distL="0" distR="0" wp14:anchorId="4A7AF457" wp14:editId="69FC7D1A">
            <wp:extent cx="5308600" cy="538480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8600" cy="5384800"/>
                    </a:xfrm>
                    <a:prstGeom prst="rect">
                      <a:avLst/>
                    </a:prstGeom>
                    <a:noFill/>
                    <a:ln>
                      <a:noFill/>
                    </a:ln>
                  </pic:spPr>
                </pic:pic>
              </a:graphicData>
            </a:graphic>
          </wp:inline>
        </w:drawing>
      </w:r>
    </w:p>
    <w:p w14:paraId="07A9B62D" w14:textId="77777777" w:rsidR="001271F2" w:rsidRPr="00E93A50" w:rsidRDefault="001271F2" w:rsidP="00865490">
      <w:pPr>
        <w:pStyle w:val="Texto"/>
        <w:spacing w:after="40" w:line="240" w:lineRule="auto"/>
        <w:rPr>
          <w:szCs w:val="18"/>
          <w:lang w:val="es-ES_tradnl"/>
        </w:rPr>
      </w:pPr>
      <w:r w:rsidRPr="00E93A50">
        <w:rPr>
          <w:szCs w:val="18"/>
          <w:lang w:val="es-ES_tradnl"/>
        </w:rPr>
        <w:t>El monto de la pensión se actualizará anualmente en el mes de febrero, conforme al Índice Nacional de Precios al Consumidor, para garantizar su poder adquisitivo.</w:t>
      </w:r>
    </w:p>
    <w:p w14:paraId="14BE87F5" w14:textId="77777777" w:rsidR="001271F2" w:rsidRPr="00E93A50" w:rsidRDefault="001271F2" w:rsidP="00865490">
      <w:pPr>
        <w:pStyle w:val="Texto"/>
        <w:spacing w:after="40" w:line="240" w:lineRule="auto"/>
        <w:rPr>
          <w:szCs w:val="18"/>
          <w:lang w:val="es-ES_tradnl"/>
        </w:rPr>
      </w:pPr>
      <w:r w:rsidRPr="00E93A50">
        <w:rPr>
          <w:szCs w:val="18"/>
          <w:lang w:val="es-ES_tradnl"/>
        </w:rPr>
        <w:t>En el cómputo de las semanas de cotización y el promedio del salario base de cotización se considerarán los que los trabajadores tengan registrados en el Instituto de Seguridad y Servicios Sociales de los Trabajadores del Estado, en los términos del convenio de portabilidad que éste tenga suscrito con el Instituto.</w:t>
      </w:r>
    </w:p>
    <w:p w14:paraId="6C7290E7" w14:textId="77777777" w:rsidR="001271F2" w:rsidRPr="00E93A50" w:rsidRDefault="001271F2" w:rsidP="00865490">
      <w:pPr>
        <w:pStyle w:val="Texto"/>
        <w:spacing w:after="40" w:line="240" w:lineRule="auto"/>
        <w:rPr>
          <w:b/>
          <w:szCs w:val="18"/>
          <w:lang w:val="es-ES_tradnl"/>
        </w:rPr>
      </w:pPr>
      <w:r w:rsidRPr="00E93A50">
        <w:rPr>
          <w:b/>
          <w:szCs w:val="18"/>
          <w:lang w:val="es-ES_tradnl"/>
        </w:rPr>
        <w:t>Artículo 172. ...</w:t>
      </w:r>
    </w:p>
    <w:p w14:paraId="022DD207" w14:textId="77777777" w:rsidR="001271F2" w:rsidRPr="00E93A50" w:rsidRDefault="001271F2" w:rsidP="00865490">
      <w:pPr>
        <w:pStyle w:val="Texto"/>
        <w:spacing w:after="40" w:line="240" w:lineRule="auto"/>
        <w:rPr>
          <w:szCs w:val="18"/>
          <w:lang w:val="es-MX"/>
        </w:rPr>
      </w:pPr>
      <w:r w:rsidRPr="00E93A50">
        <w:rPr>
          <w:b/>
          <w:szCs w:val="18"/>
          <w:lang w:val="es-ES_tradnl"/>
        </w:rPr>
        <w:t>...</w:t>
      </w:r>
    </w:p>
    <w:p w14:paraId="32DEFD6F" w14:textId="77777777" w:rsidR="001271F2" w:rsidRPr="00E93A50" w:rsidRDefault="001271F2" w:rsidP="00865490">
      <w:pPr>
        <w:pStyle w:val="Texto"/>
        <w:spacing w:after="40" w:line="240" w:lineRule="auto"/>
        <w:rPr>
          <w:szCs w:val="18"/>
          <w:lang w:val="es-ES_tradnl"/>
        </w:rPr>
      </w:pPr>
      <w:r w:rsidRPr="00E93A50">
        <w:rPr>
          <w:szCs w:val="18"/>
          <w:lang w:val="es-ES_tradnl"/>
        </w:rPr>
        <w:t>Agotados los recursos de la cuenta individual, la Administradora de Fondos para el Retiro, notificará este hecho al Instituto con la finalidad de que éste continúe otorgando la pensión garantizada.</w:t>
      </w:r>
    </w:p>
    <w:p w14:paraId="2FAD4938" w14:textId="77777777" w:rsidR="001271F2" w:rsidRPr="00E93A50" w:rsidRDefault="001271F2" w:rsidP="00865490">
      <w:pPr>
        <w:pStyle w:val="Texto"/>
        <w:spacing w:after="40" w:line="240" w:lineRule="auto"/>
        <w:rPr>
          <w:szCs w:val="18"/>
          <w:lang w:val="es-ES_tradnl"/>
        </w:rPr>
      </w:pPr>
      <w:r w:rsidRPr="00E93A50">
        <w:rPr>
          <w:szCs w:val="18"/>
          <w:lang w:val="es-ES_tradnl"/>
        </w:rPr>
        <w:t>Una vez agotados los recursos, la pensión será cubierta con cargo al Gobierno Federal por conducto de la Tesorería de la Federación, a partir de la información que para tal efecto le proporcione el Instituto.</w:t>
      </w:r>
    </w:p>
    <w:p w14:paraId="25DEB52C" w14:textId="77777777" w:rsidR="001271F2" w:rsidRPr="00E93A50" w:rsidRDefault="001271F2" w:rsidP="00865490">
      <w:pPr>
        <w:pStyle w:val="Texto"/>
        <w:spacing w:after="40" w:line="240" w:lineRule="auto"/>
        <w:rPr>
          <w:szCs w:val="18"/>
          <w:lang w:val="es-ES_tradnl"/>
        </w:rPr>
      </w:pPr>
      <w:r w:rsidRPr="00E93A50">
        <w:rPr>
          <w:szCs w:val="18"/>
          <w:lang w:val="es-ES_tradnl"/>
        </w:rPr>
        <w:t>La Secretaría de Hacienda y Crédito Público podrá verificar la información que el Instituto proporcione para los efectos arriba señalados, con datos propios o de terceros e informar los resultados de la verificación al propio Instituto y, en su caso, solicitarle la modificación de los procedimientos necesarios para su conciliación.</w:t>
      </w:r>
    </w:p>
    <w:p w14:paraId="6BD92BED" w14:textId="77777777" w:rsidR="001271F2" w:rsidRPr="00E93A50" w:rsidRDefault="001271F2" w:rsidP="00865490">
      <w:pPr>
        <w:pStyle w:val="Texto"/>
        <w:spacing w:after="40" w:line="240" w:lineRule="auto"/>
        <w:rPr>
          <w:b/>
          <w:szCs w:val="18"/>
          <w:lang w:val="es-ES_tradnl"/>
        </w:rPr>
      </w:pPr>
      <w:r w:rsidRPr="00E93A50">
        <w:rPr>
          <w:b/>
          <w:szCs w:val="18"/>
          <w:lang w:val="es-ES_tradnl"/>
        </w:rPr>
        <w:t>Artículo 172 A. ...</w:t>
      </w:r>
    </w:p>
    <w:p w14:paraId="0577263A" w14:textId="77777777" w:rsidR="001271F2" w:rsidRPr="00E93A50" w:rsidRDefault="001271F2" w:rsidP="00865490">
      <w:pPr>
        <w:pStyle w:val="Texto"/>
        <w:spacing w:after="40" w:line="240" w:lineRule="auto"/>
        <w:rPr>
          <w:szCs w:val="18"/>
          <w:lang w:val="es-MX"/>
        </w:rPr>
      </w:pPr>
      <w:r w:rsidRPr="00E93A50">
        <w:rPr>
          <w:b/>
          <w:szCs w:val="18"/>
          <w:lang w:val="es-ES_tradnl"/>
        </w:rPr>
        <w:t>...</w:t>
      </w:r>
    </w:p>
    <w:p w14:paraId="47022DC0" w14:textId="77777777" w:rsidR="001271F2" w:rsidRPr="00E93A50" w:rsidRDefault="001271F2" w:rsidP="00865490">
      <w:pPr>
        <w:pStyle w:val="Texto"/>
        <w:spacing w:after="40" w:line="240" w:lineRule="auto"/>
        <w:ind w:left="1008" w:hanging="432"/>
        <w:rPr>
          <w:b/>
          <w:szCs w:val="18"/>
          <w:lang w:val="es-ES_tradnl"/>
        </w:rPr>
      </w:pPr>
      <w:r w:rsidRPr="00E93A50">
        <w:rPr>
          <w:b/>
          <w:szCs w:val="18"/>
          <w:lang w:val="es-ES_tradnl"/>
        </w:rPr>
        <w:t>I.</w:t>
      </w:r>
      <w:r w:rsidRPr="00E93A50">
        <w:rPr>
          <w:b/>
          <w:szCs w:val="18"/>
          <w:lang w:val="es-ES_tradnl"/>
        </w:rPr>
        <w:tab/>
        <w:t>...</w:t>
      </w:r>
    </w:p>
    <w:p w14:paraId="39A1FECF" w14:textId="77777777" w:rsidR="001271F2" w:rsidRPr="00E93A50" w:rsidRDefault="001271F2" w:rsidP="00865490">
      <w:pPr>
        <w:pStyle w:val="Texto"/>
        <w:spacing w:after="40" w:line="240" w:lineRule="auto"/>
        <w:ind w:left="1008" w:hanging="432"/>
        <w:rPr>
          <w:szCs w:val="18"/>
          <w:lang w:val="es-ES_tradnl"/>
        </w:rPr>
      </w:pPr>
      <w:r w:rsidRPr="00E93A50">
        <w:rPr>
          <w:b/>
          <w:szCs w:val="18"/>
          <w:lang w:val="es-ES_tradnl"/>
        </w:rPr>
        <w:lastRenderedPageBreak/>
        <w:t>II.</w:t>
      </w:r>
      <w:r w:rsidRPr="00E93A50">
        <w:rPr>
          <w:b/>
          <w:szCs w:val="18"/>
          <w:lang w:val="es-ES_tradnl"/>
        </w:rPr>
        <w:tab/>
      </w:r>
      <w:r w:rsidRPr="00E93A50">
        <w:rPr>
          <w:szCs w:val="18"/>
          <w:lang w:val="es-ES_tradnl"/>
        </w:rPr>
        <w:t>El Gobierno Federal por conducto de la Tesorería de la Federación, deberá aportar los recursos faltantes para el pago del monto constitutivo de la mencionada renta vitalicia, a partir de la información que al efecto le proporcione el Instituto.</w:t>
      </w:r>
    </w:p>
    <w:p w14:paraId="16B91FCC" w14:textId="77777777" w:rsidR="001271F2" w:rsidRPr="00E93A50" w:rsidRDefault="001271F2" w:rsidP="00865490">
      <w:pPr>
        <w:pStyle w:val="Texto"/>
        <w:spacing w:after="70"/>
        <w:ind w:left="1008" w:hanging="432"/>
        <w:rPr>
          <w:szCs w:val="18"/>
          <w:lang w:val="es-ES_tradnl"/>
        </w:rPr>
      </w:pPr>
      <w:r>
        <w:rPr>
          <w:szCs w:val="18"/>
          <w:lang w:val="es-ES_tradnl"/>
        </w:rPr>
        <w:tab/>
      </w:r>
      <w:r w:rsidRPr="00E93A50">
        <w:rPr>
          <w:szCs w:val="18"/>
          <w:lang w:val="es-ES_tradnl"/>
        </w:rPr>
        <w:t>La Secretaría de Hacienda y Crédito Público podrá verificar la información que el Instituto proporcione para los efectos del párrafo anterior, con datos propios o de terceros e informar los resultados de la verificación al propio Instituto y, en su caso, solicitarle la modificación de los procedimientos necesarios para su conciliación.</w:t>
      </w:r>
    </w:p>
    <w:p w14:paraId="57058B5B" w14:textId="77777777" w:rsidR="001271F2" w:rsidRPr="00E93A50" w:rsidRDefault="001271F2" w:rsidP="00865490">
      <w:pPr>
        <w:pStyle w:val="Texto"/>
        <w:spacing w:after="70"/>
        <w:rPr>
          <w:szCs w:val="18"/>
          <w:lang w:val="es-ES_tradnl"/>
        </w:rPr>
      </w:pPr>
      <w:r w:rsidRPr="00E93A50">
        <w:rPr>
          <w:b/>
          <w:szCs w:val="18"/>
          <w:lang w:val="es-ES_tradnl"/>
        </w:rPr>
        <w:t xml:space="preserve">Artículo 190. </w:t>
      </w:r>
      <w:r w:rsidRPr="00E93A50">
        <w:rPr>
          <w:szCs w:val="18"/>
          <w:lang w:val="es-ES_tradnl"/>
        </w:rPr>
        <w:t>El trabajador o sus beneficiarios que adquieran el derecho a disfrutar de una pensión proveniente de algún plan establecido por su patrón o derivado de contratación colectiva, que haya sido autorizado y registrado por la Comisión Nacional del Sistema de Ahorro para el Retiro, debiendo cumplir los requisitos establecidos por ésta, tendrá derecho a que la Administradora de Fondos para el Retiro, que opere su cuenta individual, le entregue los recursos que lo integran, situándolos en la entidad financiera que el trabajador designe, a fin de adquirir una pensión en los términos del artículo 157 o bien entregándoselos en una sola exhibición, cuando la pensión de que disfrute sea mayor en un treinta por ciento de la pensión garantizada, que corresponda conforme a las semanas de cotización, al salario base de cotización y a la edad de sesenta años, de la tabla establecida en el artículo 170 de esta Ley.</w:t>
      </w:r>
    </w:p>
    <w:p w14:paraId="0AC00F62" w14:textId="77777777" w:rsidR="001271F2" w:rsidRPr="00E93A50" w:rsidRDefault="001271F2" w:rsidP="00865490">
      <w:pPr>
        <w:pStyle w:val="Texto"/>
        <w:spacing w:after="70"/>
        <w:rPr>
          <w:b/>
          <w:szCs w:val="18"/>
          <w:lang w:val="es-ES_tradnl"/>
        </w:rPr>
      </w:pPr>
      <w:r w:rsidRPr="00E93A50">
        <w:rPr>
          <w:b/>
          <w:szCs w:val="18"/>
          <w:lang w:val="es-ES_tradnl"/>
        </w:rPr>
        <w:t>Artículo 192. ...</w:t>
      </w:r>
    </w:p>
    <w:p w14:paraId="051AD69B" w14:textId="77777777" w:rsidR="001271F2" w:rsidRPr="00E93A50" w:rsidRDefault="001271F2" w:rsidP="00865490">
      <w:pPr>
        <w:pStyle w:val="Texto"/>
        <w:spacing w:after="70"/>
        <w:rPr>
          <w:szCs w:val="18"/>
          <w:lang w:val="es-MX"/>
        </w:rPr>
      </w:pPr>
      <w:r w:rsidRPr="00E93A50">
        <w:rPr>
          <w:b/>
          <w:szCs w:val="18"/>
          <w:lang w:val="es-ES_tradnl"/>
        </w:rPr>
        <w:t>...</w:t>
      </w:r>
    </w:p>
    <w:p w14:paraId="71A7AE08" w14:textId="77777777" w:rsidR="001271F2" w:rsidRPr="00E93A50" w:rsidRDefault="001271F2" w:rsidP="00865490">
      <w:pPr>
        <w:pStyle w:val="Texto"/>
        <w:spacing w:after="70"/>
        <w:rPr>
          <w:szCs w:val="18"/>
          <w:lang w:val="es-MX"/>
        </w:rPr>
      </w:pPr>
      <w:r w:rsidRPr="00E93A50">
        <w:rPr>
          <w:szCs w:val="18"/>
          <w:lang w:val="es-ES_tradnl"/>
        </w:rPr>
        <w:t>El trabajador podrá hacer retiros de la subcuenta de aportaciones voluntarias en cualquier momento, conforme al procedimiento que establezca la Comisión Nacional del Sistema de Ahorro para el Retiro.</w:t>
      </w:r>
    </w:p>
    <w:p w14:paraId="48CC4BD0" w14:textId="77777777" w:rsidR="001271F2" w:rsidRPr="00E93A50" w:rsidRDefault="001271F2" w:rsidP="00865490">
      <w:pPr>
        <w:pStyle w:val="Texto"/>
        <w:spacing w:after="70"/>
        <w:rPr>
          <w:szCs w:val="18"/>
          <w:lang w:val="es-ES_tradnl"/>
        </w:rPr>
      </w:pPr>
      <w:r w:rsidRPr="00E93A50">
        <w:rPr>
          <w:b/>
          <w:szCs w:val="18"/>
          <w:lang w:val="es-ES_tradnl"/>
        </w:rPr>
        <w:t xml:space="preserve">Artículo 193. </w:t>
      </w:r>
      <w:r w:rsidRPr="00E93A50">
        <w:rPr>
          <w:szCs w:val="18"/>
          <w:lang w:val="es-ES_tradnl"/>
        </w:rPr>
        <w:t>Los beneficiarios del trabajador titular de una cuenta individual del seguro de retiro, cesantía en edad avanzada y vejez serán los que establecen las fracciones III al IX del artículo 84, en relación con los artículos 129 al 137 de esta Ley.</w:t>
      </w:r>
    </w:p>
    <w:p w14:paraId="60853B69" w14:textId="77777777" w:rsidR="001271F2" w:rsidRPr="00E93A50" w:rsidRDefault="001271F2" w:rsidP="00865490">
      <w:pPr>
        <w:pStyle w:val="Texto"/>
        <w:spacing w:after="70"/>
        <w:rPr>
          <w:szCs w:val="18"/>
          <w:lang w:val="es-ES_tradnl"/>
        </w:rPr>
      </w:pPr>
      <w:r w:rsidRPr="00E93A50">
        <w:rPr>
          <w:szCs w:val="18"/>
          <w:lang w:val="es-ES_tradnl"/>
        </w:rPr>
        <w:t>En caso de fallecimiento del trabajador o pensionado, tendrán derecho a recibir los recursos de la cuenta individual que en términos de las disposiciones legales puedan entregarse en una sola exhibición por no tener otro fin específico, a los beneficiarios designados expresamente en los contratos de administración de fondos para el retiro que las Administradoras de Fondos para el Retiro celebren con los trabajadores, en la proporción estipulada para cada uno de ellos.</w:t>
      </w:r>
    </w:p>
    <w:p w14:paraId="7245049B" w14:textId="77777777" w:rsidR="001271F2" w:rsidRPr="00E93A50" w:rsidRDefault="001271F2" w:rsidP="00865490">
      <w:pPr>
        <w:pStyle w:val="Texto"/>
        <w:spacing w:after="70"/>
        <w:rPr>
          <w:szCs w:val="18"/>
          <w:lang w:val="es-ES_tradnl"/>
        </w:rPr>
      </w:pPr>
      <w:r w:rsidRPr="00E93A50">
        <w:rPr>
          <w:szCs w:val="18"/>
          <w:lang w:val="es-ES_tradnl"/>
        </w:rPr>
        <w:t>Para tales efectos, el trabajador podrá en cualquier tiempo sustituir a los beneficiarios que hubiera designado, así como modificar, en su caso, la proporción correspondiente a cada uno de ellos.</w:t>
      </w:r>
    </w:p>
    <w:p w14:paraId="5CCEA9DD" w14:textId="77777777" w:rsidR="001271F2" w:rsidRPr="00E93A50" w:rsidRDefault="001271F2" w:rsidP="00865490">
      <w:pPr>
        <w:pStyle w:val="Texto"/>
        <w:spacing w:after="70"/>
        <w:rPr>
          <w:szCs w:val="18"/>
          <w:lang w:val="es-ES_tradnl"/>
        </w:rPr>
      </w:pPr>
      <w:r w:rsidRPr="00E93A50">
        <w:rPr>
          <w:szCs w:val="18"/>
          <w:lang w:val="es-ES_tradnl"/>
        </w:rPr>
        <w:t>La Administradora de Fondos para el Retiro en la que se encontraba registrado el trabajador o pensionado fallecido, deberá entregar el importe de las subcuentas, incluidas las de Vivienda, que en términos de las disposiciones legales aplicables puedan entregarse en una sola exhibición.</w:t>
      </w:r>
    </w:p>
    <w:p w14:paraId="7F57715A" w14:textId="77777777" w:rsidR="001271F2" w:rsidRPr="00E93A50" w:rsidRDefault="001271F2" w:rsidP="00865490">
      <w:pPr>
        <w:pStyle w:val="Texto"/>
        <w:spacing w:after="70"/>
        <w:rPr>
          <w:szCs w:val="18"/>
          <w:lang w:val="es-ES_tradnl"/>
        </w:rPr>
      </w:pPr>
      <w:r w:rsidRPr="00E93A50">
        <w:rPr>
          <w:szCs w:val="18"/>
          <w:lang w:val="es-ES_tradnl"/>
        </w:rPr>
        <w:t>A falta de beneficiarios designados, dicha entrega se hará en el orden de prelación previsto en el artículo 501 de la Ley Federal del Trabajo. Cualquier conflicto deberá ser resuelto ante los tribunales competentes de conformidad con lo establecido en la Ley Orgánica del Poder Judicial de la Federación.</w:t>
      </w:r>
    </w:p>
    <w:p w14:paraId="58A48361" w14:textId="77777777" w:rsidR="001271F2" w:rsidRPr="00E93A50" w:rsidRDefault="001271F2" w:rsidP="00865490">
      <w:pPr>
        <w:pStyle w:val="Texto"/>
        <w:spacing w:after="70"/>
        <w:rPr>
          <w:szCs w:val="18"/>
          <w:lang w:val="es-ES_tradnl"/>
        </w:rPr>
      </w:pPr>
      <w:r w:rsidRPr="00E93A50">
        <w:rPr>
          <w:b/>
          <w:szCs w:val="18"/>
          <w:lang w:val="es-ES_tradnl"/>
        </w:rPr>
        <w:t xml:space="preserve">Artículo 194. </w:t>
      </w:r>
      <w:r w:rsidRPr="00E93A50">
        <w:rPr>
          <w:szCs w:val="18"/>
          <w:lang w:val="es-ES_tradnl"/>
        </w:rPr>
        <w:t>Para efectos del retiro programado, se calculará cada año una anualidad que será igual al resultado de dividir el saldo de la cuenta individual del asegurado entre el capital necesario para financiar una unidad de renta vitalicia para el asegurado y sus beneficiarios y, por lo menos, igual al valor correspondiente a la pensión garantizada, que le corresponda conforme a la tabla establecida en el artículo 170 de esta Ley. La pensión mensual corresponderá a la doceava parte de dicha anualidad.</w:t>
      </w:r>
    </w:p>
    <w:p w14:paraId="3A50F97B" w14:textId="77777777" w:rsidR="001271F2" w:rsidRPr="00E93A50" w:rsidRDefault="001271F2" w:rsidP="00865490">
      <w:pPr>
        <w:pStyle w:val="Texto"/>
        <w:spacing w:after="70"/>
        <w:rPr>
          <w:b/>
          <w:szCs w:val="18"/>
          <w:lang w:val="es-ES_tradnl"/>
        </w:rPr>
      </w:pPr>
      <w:r w:rsidRPr="00E93A50">
        <w:rPr>
          <w:b/>
          <w:szCs w:val="18"/>
          <w:lang w:val="es-ES_tradnl"/>
        </w:rPr>
        <w:t>...</w:t>
      </w:r>
    </w:p>
    <w:p w14:paraId="4F7FA3F9" w14:textId="77777777" w:rsidR="001271F2" w:rsidRPr="00E93A50" w:rsidRDefault="001271F2" w:rsidP="00865490">
      <w:pPr>
        <w:pStyle w:val="Texto"/>
        <w:spacing w:after="70"/>
        <w:rPr>
          <w:b/>
          <w:szCs w:val="18"/>
          <w:lang w:val="es-ES_tradnl"/>
        </w:rPr>
      </w:pPr>
      <w:r w:rsidRPr="00E93A50">
        <w:rPr>
          <w:b/>
          <w:szCs w:val="18"/>
          <w:lang w:val="es-ES_tradnl"/>
        </w:rPr>
        <w:t>Artículo 218. ...</w:t>
      </w:r>
    </w:p>
    <w:p w14:paraId="6EC25B73" w14:textId="77777777" w:rsidR="001271F2" w:rsidRPr="00E93A50" w:rsidRDefault="001271F2" w:rsidP="00865490">
      <w:pPr>
        <w:pStyle w:val="Texto"/>
        <w:spacing w:after="70"/>
        <w:ind w:left="1008" w:hanging="432"/>
        <w:rPr>
          <w:szCs w:val="18"/>
          <w:lang w:val="es-MX"/>
        </w:rPr>
      </w:pPr>
      <w:r w:rsidRPr="00E93A50">
        <w:rPr>
          <w:b/>
          <w:szCs w:val="18"/>
          <w:lang w:val="es-ES_tradnl"/>
        </w:rPr>
        <w:t xml:space="preserve">a) </w:t>
      </w:r>
      <w:r w:rsidRPr="00E93A50">
        <w:rPr>
          <w:b/>
          <w:szCs w:val="18"/>
          <w:lang w:val="es-ES_tradnl"/>
        </w:rPr>
        <w:tab/>
      </w:r>
      <w:r w:rsidRPr="00E93A50">
        <w:rPr>
          <w:szCs w:val="18"/>
          <w:lang w:val="es-ES_tradnl"/>
        </w:rPr>
        <w:t>Respecto del seguro de retiro, cesantía en edad avanzada y vejez, el asegurado cubrirá por cuanto hace al ramo primero, la totalidad de la cuota y por los otros dos ramos cubrirá el importe de las cuotas obrero patronales, debiendo el Estado aportar la parte de cuota social que conforme a esta Ley le corresponda, y</w:t>
      </w:r>
    </w:p>
    <w:p w14:paraId="313B3C5F" w14:textId="77777777" w:rsidR="001271F2" w:rsidRPr="00E93A50" w:rsidRDefault="001271F2" w:rsidP="00865490">
      <w:pPr>
        <w:pStyle w:val="Texto"/>
        <w:spacing w:after="70"/>
        <w:ind w:left="1008" w:hanging="432"/>
        <w:rPr>
          <w:b/>
          <w:szCs w:val="18"/>
          <w:lang w:val="es-ES_tradnl"/>
        </w:rPr>
      </w:pPr>
      <w:r w:rsidRPr="00E93A50">
        <w:rPr>
          <w:b/>
          <w:szCs w:val="18"/>
          <w:lang w:val="es-ES_tradnl"/>
        </w:rPr>
        <w:t xml:space="preserve">b) </w:t>
      </w:r>
      <w:r w:rsidRPr="00E93A50">
        <w:rPr>
          <w:b/>
          <w:szCs w:val="18"/>
          <w:lang w:val="es-ES_tradnl"/>
        </w:rPr>
        <w:tab/>
        <w:t>...</w:t>
      </w:r>
    </w:p>
    <w:p w14:paraId="4887CA13" w14:textId="77777777" w:rsidR="001271F2" w:rsidRPr="00E93A50" w:rsidRDefault="001271F2" w:rsidP="00865490">
      <w:pPr>
        <w:pStyle w:val="Texto"/>
        <w:spacing w:after="70"/>
        <w:rPr>
          <w:szCs w:val="18"/>
          <w:lang w:val="es-MX"/>
        </w:rPr>
      </w:pPr>
      <w:r w:rsidRPr="00E93A50">
        <w:rPr>
          <w:b/>
          <w:szCs w:val="18"/>
          <w:lang w:val="es-ES_tradnl"/>
        </w:rPr>
        <w:t>...</w:t>
      </w:r>
    </w:p>
    <w:p w14:paraId="1C601245" w14:textId="77777777" w:rsidR="001271F2" w:rsidRPr="00E93A50" w:rsidRDefault="001271F2" w:rsidP="00865490">
      <w:pPr>
        <w:pStyle w:val="Texto"/>
        <w:spacing w:after="70"/>
        <w:rPr>
          <w:szCs w:val="18"/>
          <w:lang w:val="es-ES_tradnl"/>
        </w:rPr>
      </w:pPr>
      <w:r w:rsidRPr="00E93A50">
        <w:rPr>
          <w:b/>
          <w:szCs w:val="18"/>
          <w:lang w:val="es-ES_tradnl"/>
        </w:rPr>
        <w:t xml:space="preserve">Artículo 302. </w:t>
      </w:r>
      <w:r w:rsidRPr="00E93A50">
        <w:rPr>
          <w:szCs w:val="18"/>
          <w:lang w:val="es-ES_tradnl"/>
        </w:rPr>
        <w:t>El derecho del trabajador o pensionado y, en su caso, de sus beneficiarios a recibir los recursos de la Subcuenta de Retiro, Cesantía en Edad Avanzada y Vejez es imprescriptible.</w:t>
      </w:r>
    </w:p>
    <w:p w14:paraId="2CA9B2F7" w14:textId="77777777" w:rsidR="001271F2" w:rsidRPr="00E93A50" w:rsidRDefault="001271F2" w:rsidP="00865490">
      <w:pPr>
        <w:pStyle w:val="Texto"/>
        <w:spacing w:after="70"/>
        <w:rPr>
          <w:szCs w:val="18"/>
          <w:lang w:val="es-ES_tradnl"/>
        </w:rPr>
      </w:pPr>
      <w:r w:rsidRPr="00E93A50">
        <w:rPr>
          <w:szCs w:val="18"/>
          <w:lang w:val="es-ES_tradnl"/>
        </w:rPr>
        <w:t>Sin perjuicio de lo anterior, el Instituto podrá disponer de dichos recursos a los diez años de que sean exigibles sin necesidad de resolución judicial, siempre que constituya una reserva suficiente para atender las solicitudes de devolución de los trabajadores, pensionados o beneficiarios. Cualquier mensualidad de una pensión, asignación familiar o ayuda asistencial recibirá el mismo tratamiento, en el año calendario en el que sea exigible.</w:t>
      </w:r>
    </w:p>
    <w:p w14:paraId="054375AA" w14:textId="77777777" w:rsidR="001271F2" w:rsidRPr="00E93A50" w:rsidRDefault="001271F2" w:rsidP="00865490">
      <w:pPr>
        <w:pStyle w:val="Texto"/>
        <w:spacing w:after="70"/>
        <w:rPr>
          <w:szCs w:val="18"/>
          <w:lang w:val="es-ES_tradnl"/>
        </w:rPr>
      </w:pPr>
      <w:r w:rsidRPr="00E93A50">
        <w:rPr>
          <w:szCs w:val="18"/>
          <w:lang w:val="es-ES_tradnl"/>
        </w:rPr>
        <w:lastRenderedPageBreak/>
        <w:t>La Secretaría de Hacienda y Crédito Público aprobará la metodología para determinar el monto de la reserva que el Instituto constituirá para atender las solicitudes de devolución señaladas en el párrafo anterior y el procedimiento que deberá seguir para ello.</w:t>
      </w:r>
    </w:p>
    <w:p w14:paraId="0805BCA0" w14:textId="77777777" w:rsidR="001271F2" w:rsidRPr="00D123F4" w:rsidRDefault="001271F2" w:rsidP="00865490">
      <w:pPr>
        <w:pStyle w:val="Texto"/>
        <w:spacing w:line="234" w:lineRule="exact"/>
        <w:ind w:firstLine="0"/>
        <w:jc w:val="center"/>
        <w:rPr>
          <w:b/>
          <w:lang w:val="es-MX"/>
        </w:rPr>
      </w:pPr>
      <w:r w:rsidRPr="00D123F4">
        <w:rPr>
          <w:b/>
        </w:rPr>
        <w:t>Transitorios</w:t>
      </w:r>
    </w:p>
    <w:p w14:paraId="5F21ECA3" w14:textId="77777777" w:rsidR="001271F2" w:rsidRPr="00E93A50" w:rsidRDefault="001271F2" w:rsidP="00865490">
      <w:pPr>
        <w:pStyle w:val="Texto"/>
        <w:spacing w:line="234" w:lineRule="exact"/>
        <w:rPr>
          <w:b/>
          <w:szCs w:val="18"/>
          <w:lang w:val="es-ES_tradnl"/>
        </w:rPr>
      </w:pPr>
      <w:r w:rsidRPr="00E93A50">
        <w:rPr>
          <w:b/>
          <w:szCs w:val="18"/>
          <w:lang w:val="es-ES_tradnl"/>
        </w:rPr>
        <w:t>VIGÉSIMO NOVENO. ...</w:t>
      </w:r>
    </w:p>
    <w:p w14:paraId="338010FE" w14:textId="77777777" w:rsidR="001271F2" w:rsidRPr="00E93A50" w:rsidRDefault="001271F2" w:rsidP="00865490">
      <w:pPr>
        <w:pStyle w:val="Texto"/>
        <w:spacing w:line="234" w:lineRule="exact"/>
        <w:rPr>
          <w:szCs w:val="18"/>
          <w:lang w:val="es-MX"/>
        </w:rPr>
      </w:pPr>
      <w:r w:rsidRPr="00E93A50">
        <w:rPr>
          <w:szCs w:val="18"/>
          <w:lang w:val="es-ES_tradnl"/>
        </w:rPr>
        <w:t>El Instituto únicamente podrá celebrar los convenios a que se refiere el párrafo anterior, cuando en los mismos se estipule que el descuento mensual derivado de una o más transacciones, considerando otros descuentos que en términos de las disposiciones jurídicas resulten procedentes, en ningún caso excederá del treinta por ciento del monto de la pensión mensual, ni implique que la cuantía de la pensión se reduzca a una cantidad inferior al promedio de las pensiones garantizadas, que corresponda a un salario mínimo y sesenta años de edad, de acuerdo a la tabla establecida en el artículo 170 de esta Ley y que el plazo para el pago del préstamo no exceda de sesenta meses. En la aplicación de los referidos descuentos se aplicará la prelación que corresponda en términos de las disposiciones jurídicas aplicables.</w:t>
      </w:r>
    </w:p>
    <w:p w14:paraId="5318A9B4" w14:textId="77777777" w:rsidR="001271F2" w:rsidRPr="00E93A50" w:rsidRDefault="001271F2" w:rsidP="00865490">
      <w:pPr>
        <w:pStyle w:val="Texto"/>
        <w:spacing w:line="234" w:lineRule="exact"/>
        <w:rPr>
          <w:szCs w:val="18"/>
          <w:lang w:val="es-MX"/>
        </w:rPr>
      </w:pPr>
      <w:r w:rsidRPr="00E93A50">
        <w:rPr>
          <w:b/>
          <w:szCs w:val="18"/>
          <w:lang w:val="es-ES_tradnl"/>
        </w:rPr>
        <w:t>...</w:t>
      </w:r>
    </w:p>
    <w:p w14:paraId="74333887" w14:textId="77777777" w:rsidR="001271F2" w:rsidRPr="00E93A50" w:rsidRDefault="001271F2" w:rsidP="00865490">
      <w:pPr>
        <w:pStyle w:val="Texto"/>
        <w:spacing w:line="234" w:lineRule="exact"/>
        <w:rPr>
          <w:szCs w:val="18"/>
          <w:lang w:val="es-MX"/>
        </w:rPr>
      </w:pPr>
      <w:r w:rsidRPr="00E93A50">
        <w:rPr>
          <w:b/>
          <w:szCs w:val="18"/>
          <w:lang w:val="es-ES_tradnl"/>
        </w:rPr>
        <w:t>...</w:t>
      </w:r>
    </w:p>
    <w:p w14:paraId="6C0C8096" w14:textId="77777777" w:rsidR="001271F2" w:rsidRPr="00E93A50" w:rsidRDefault="001271F2" w:rsidP="00865490">
      <w:pPr>
        <w:pStyle w:val="Texto"/>
        <w:spacing w:line="234" w:lineRule="exact"/>
        <w:rPr>
          <w:szCs w:val="18"/>
          <w:lang w:val="es-MX"/>
        </w:rPr>
      </w:pPr>
      <w:r w:rsidRPr="00E93A50">
        <w:rPr>
          <w:b/>
          <w:szCs w:val="18"/>
          <w:lang w:val="es-ES_tradnl"/>
        </w:rPr>
        <w:t>...</w:t>
      </w:r>
    </w:p>
    <w:p w14:paraId="36ADE9E9" w14:textId="77777777" w:rsidR="001271F2" w:rsidRPr="00E93A50" w:rsidRDefault="001271F2" w:rsidP="00865490">
      <w:pPr>
        <w:pStyle w:val="Texto"/>
        <w:spacing w:line="234" w:lineRule="exact"/>
        <w:rPr>
          <w:szCs w:val="18"/>
          <w:lang w:val="es-ES_tradnl"/>
        </w:rPr>
      </w:pPr>
      <w:r w:rsidRPr="00E93A50">
        <w:rPr>
          <w:b/>
          <w:szCs w:val="18"/>
          <w:lang w:val="es-ES_tradnl"/>
        </w:rPr>
        <w:t xml:space="preserve">Artículo Segundo. </w:t>
      </w:r>
      <w:r w:rsidRPr="00E93A50">
        <w:rPr>
          <w:szCs w:val="18"/>
          <w:lang w:val="es-ES_tradnl"/>
        </w:rPr>
        <w:t>Se adiciona un párrafo octavo, pasando los actuales párrafos octavo a décimo octavo a ser los párrafos noveno a décimo noveno, del artículo 37 de la Ley de los Sistemas de Ahorro para el Retiro, para quedar como sigue:</w:t>
      </w:r>
    </w:p>
    <w:p w14:paraId="48F36D61" w14:textId="77777777" w:rsidR="001271F2" w:rsidRPr="00E93A50" w:rsidRDefault="001271F2" w:rsidP="00865490">
      <w:pPr>
        <w:pStyle w:val="Texto"/>
        <w:spacing w:line="234" w:lineRule="exact"/>
        <w:rPr>
          <w:b/>
          <w:szCs w:val="18"/>
          <w:lang w:val="es-ES_tradnl"/>
        </w:rPr>
      </w:pPr>
      <w:r w:rsidRPr="00E93A50">
        <w:rPr>
          <w:b/>
          <w:szCs w:val="18"/>
          <w:lang w:val="es-ES_tradnl"/>
        </w:rPr>
        <w:t>Artículo 37.- ...</w:t>
      </w:r>
    </w:p>
    <w:p w14:paraId="3DB804FF" w14:textId="77777777" w:rsidR="001271F2" w:rsidRPr="00E93A50" w:rsidRDefault="001271F2" w:rsidP="00865490">
      <w:pPr>
        <w:pStyle w:val="Texto"/>
        <w:spacing w:line="234" w:lineRule="exact"/>
        <w:rPr>
          <w:szCs w:val="18"/>
          <w:lang w:val="es-MX"/>
        </w:rPr>
      </w:pPr>
      <w:r w:rsidRPr="00E93A50">
        <w:rPr>
          <w:b/>
          <w:szCs w:val="18"/>
          <w:lang w:val="es-ES_tradnl"/>
        </w:rPr>
        <w:t>...</w:t>
      </w:r>
    </w:p>
    <w:p w14:paraId="57A46D8C" w14:textId="77777777" w:rsidR="001271F2" w:rsidRPr="00E93A50" w:rsidRDefault="001271F2" w:rsidP="00865490">
      <w:pPr>
        <w:pStyle w:val="Texto"/>
        <w:spacing w:line="234" w:lineRule="exact"/>
        <w:rPr>
          <w:szCs w:val="18"/>
          <w:lang w:val="es-MX"/>
        </w:rPr>
      </w:pPr>
      <w:r w:rsidRPr="00E93A50">
        <w:rPr>
          <w:b/>
          <w:szCs w:val="18"/>
          <w:lang w:val="es-ES_tradnl"/>
        </w:rPr>
        <w:t>...</w:t>
      </w:r>
    </w:p>
    <w:p w14:paraId="5A0B7591" w14:textId="77777777" w:rsidR="001271F2" w:rsidRPr="00E93A50" w:rsidRDefault="001271F2" w:rsidP="00865490">
      <w:pPr>
        <w:pStyle w:val="Texto"/>
        <w:spacing w:line="234" w:lineRule="exact"/>
        <w:rPr>
          <w:szCs w:val="18"/>
          <w:lang w:val="es-MX"/>
        </w:rPr>
      </w:pPr>
      <w:r w:rsidRPr="00E93A50">
        <w:rPr>
          <w:b/>
          <w:szCs w:val="18"/>
          <w:lang w:val="es-ES_tradnl"/>
        </w:rPr>
        <w:t>...</w:t>
      </w:r>
    </w:p>
    <w:p w14:paraId="04AA1020" w14:textId="77777777" w:rsidR="001271F2" w:rsidRPr="00E93A50" w:rsidRDefault="001271F2" w:rsidP="00865490">
      <w:pPr>
        <w:pStyle w:val="Texto"/>
        <w:spacing w:line="234" w:lineRule="exact"/>
        <w:rPr>
          <w:szCs w:val="18"/>
          <w:lang w:val="es-MX"/>
        </w:rPr>
      </w:pPr>
      <w:r w:rsidRPr="00E93A50">
        <w:rPr>
          <w:b/>
          <w:szCs w:val="18"/>
          <w:lang w:val="es-ES_tradnl"/>
        </w:rPr>
        <w:t>...</w:t>
      </w:r>
    </w:p>
    <w:p w14:paraId="0B3943F1" w14:textId="77777777" w:rsidR="001271F2" w:rsidRPr="00E93A50" w:rsidRDefault="001271F2" w:rsidP="00865490">
      <w:pPr>
        <w:pStyle w:val="Texto"/>
        <w:spacing w:line="234" w:lineRule="exact"/>
        <w:rPr>
          <w:szCs w:val="18"/>
          <w:lang w:val="es-MX"/>
        </w:rPr>
      </w:pPr>
      <w:r w:rsidRPr="00E93A50">
        <w:rPr>
          <w:b/>
          <w:szCs w:val="18"/>
          <w:lang w:val="es-ES_tradnl"/>
        </w:rPr>
        <w:t>...</w:t>
      </w:r>
    </w:p>
    <w:p w14:paraId="2EF01D63" w14:textId="77777777" w:rsidR="001271F2" w:rsidRPr="00E93A50" w:rsidRDefault="001271F2" w:rsidP="00865490">
      <w:pPr>
        <w:pStyle w:val="Texto"/>
        <w:spacing w:line="234" w:lineRule="exact"/>
        <w:rPr>
          <w:szCs w:val="18"/>
          <w:lang w:val="es-MX"/>
        </w:rPr>
      </w:pPr>
      <w:r w:rsidRPr="00E93A50">
        <w:rPr>
          <w:b/>
          <w:szCs w:val="18"/>
          <w:lang w:val="es-ES_tradnl"/>
        </w:rPr>
        <w:t>...</w:t>
      </w:r>
    </w:p>
    <w:p w14:paraId="4CA43894" w14:textId="77777777" w:rsidR="001271F2" w:rsidRPr="00E93A50" w:rsidRDefault="001271F2" w:rsidP="00865490">
      <w:pPr>
        <w:pStyle w:val="Texto"/>
        <w:spacing w:line="234" w:lineRule="exact"/>
        <w:rPr>
          <w:szCs w:val="18"/>
          <w:lang w:val="es-MX"/>
        </w:rPr>
      </w:pPr>
      <w:r w:rsidRPr="00E93A50">
        <w:rPr>
          <w:szCs w:val="18"/>
          <w:lang w:val="es-ES_tradnl"/>
        </w:rPr>
        <w:t>Las comisiones que cobren las administradoras de fondos para el retiro estarán sujetas a un máximo, el cual resultará del promedio aritmético de los cobros en materia de comisiones en los sistemas de contribución definida de los Estados Unidos de América, Colombia y Chile, de conformidad con las políticas y criterios que al efecto emita la Junta de Gobierno de la Comisión de conformidad con el párrafo anterior. En la medida en que las comisiones en estos países tengan ajustes a la baja serán aplicables las mismas reducciones y, en caso contrario, se mantendrá el promedio que al momento se esté aplicando.</w:t>
      </w:r>
    </w:p>
    <w:p w14:paraId="531B68E5" w14:textId="77777777" w:rsidR="001271F2" w:rsidRPr="00E93A50" w:rsidRDefault="001271F2" w:rsidP="00865490">
      <w:pPr>
        <w:pStyle w:val="Texto"/>
        <w:spacing w:line="234" w:lineRule="exact"/>
        <w:rPr>
          <w:szCs w:val="18"/>
          <w:lang w:val="es-MX"/>
        </w:rPr>
      </w:pPr>
      <w:r w:rsidRPr="00E93A50">
        <w:rPr>
          <w:b/>
          <w:szCs w:val="18"/>
          <w:lang w:val="es-ES_tradnl"/>
        </w:rPr>
        <w:t>...</w:t>
      </w:r>
    </w:p>
    <w:p w14:paraId="5D93FEF1" w14:textId="77777777" w:rsidR="001271F2" w:rsidRPr="00E93A50" w:rsidRDefault="001271F2" w:rsidP="00865490">
      <w:pPr>
        <w:pStyle w:val="Texto"/>
        <w:spacing w:line="234" w:lineRule="exact"/>
        <w:rPr>
          <w:szCs w:val="18"/>
          <w:lang w:val="es-MX"/>
        </w:rPr>
      </w:pPr>
      <w:r w:rsidRPr="00E93A50">
        <w:rPr>
          <w:b/>
          <w:szCs w:val="18"/>
          <w:lang w:val="es-ES_tradnl"/>
        </w:rPr>
        <w:t>...</w:t>
      </w:r>
    </w:p>
    <w:p w14:paraId="11A85705" w14:textId="77777777" w:rsidR="001271F2" w:rsidRPr="00E93A50" w:rsidRDefault="001271F2" w:rsidP="00865490">
      <w:pPr>
        <w:pStyle w:val="Texto"/>
        <w:spacing w:line="234" w:lineRule="exact"/>
        <w:rPr>
          <w:szCs w:val="18"/>
          <w:lang w:val="es-MX"/>
        </w:rPr>
      </w:pPr>
      <w:r w:rsidRPr="00E93A50">
        <w:rPr>
          <w:b/>
          <w:szCs w:val="18"/>
          <w:lang w:val="es-ES_tradnl"/>
        </w:rPr>
        <w:t>...</w:t>
      </w:r>
    </w:p>
    <w:p w14:paraId="021F0AC6" w14:textId="77777777" w:rsidR="001271F2" w:rsidRPr="00E93A50" w:rsidRDefault="001271F2" w:rsidP="00865490">
      <w:pPr>
        <w:pStyle w:val="Texto"/>
        <w:spacing w:line="234" w:lineRule="exact"/>
        <w:rPr>
          <w:szCs w:val="18"/>
          <w:lang w:val="es-MX"/>
        </w:rPr>
      </w:pPr>
      <w:r w:rsidRPr="00E93A50">
        <w:rPr>
          <w:b/>
          <w:szCs w:val="18"/>
          <w:lang w:val="es-ES_tradnl"/>
        </w:rPr>
        <w:t>...</w:t>
      </w:r>
    </w:p>
    <w:p w14:paraId="7BED0AFE" w14:textId="77777777" w:rsidR="001271F2" w:rsidRPr="00E93A50" w:rsidRDefault="001271F2" w:rsidP="00865490">
      <w:pPr>
        <w:pStyle w:val="Texto"/>
        <w:spacing w:line="234" w:lineRule="exact"/>
        <w:rPr>
          <w:szCs w:val="18"/>
          <w:lang w:val="es-MX"/>
        </w:rPr>
      </w:pPr>
      <w:r w:rsidRPr="00E93A50">
        <w:rPr>
          <w:b/>
          <w:szCs w:val="18"/>
          <w:lang w:val="es-ES_tradnl"/>
        </w:rPr>
        <w:t>...</w:t>
      </w:r>
    </w:p>
    <w:p w14:paraId="4FCBB3E7" w14:textId="77777777" w:rsidR="001271F2" w:rsidRPr="00E93A50" w:rsidRDefault="001271F2" w:rsidP="00865490">
      <w:pPr>
        <w:pStyle w:val="Texto"/>
        <w:spacing w:line="234" w:lineRule="exact"/>
        <w:rPr>
          <w:szCs w:val="18"/>
          <w:lang w:val="es-MX"/>
        </w:rPr>
      </w:pPr>
      <w:r w:rsidRPr="00E93A50">
        <w:rPr>
          <w:b/>
          <w:szCs w:val="18"/>
          <w:lang w:val="es-ES_tradnl"/>
        </w:rPr>
        <w:t>...</w:t>
      </w:r>
    </w:p>
    <w:p w14:paraId="54C1789D" w14:textId="77777777" w:rsidR="001271F2" w:rsidRPr="00E93A50" w:rsidRDefault="001271F2" w:rsidP="00865490">
      <w:pPr>
        <w:pStyle w:val="Texto"/>
        <w:spacing w:line="234" w:lineRule="exact"/>
        <w:rPr>
          <w:szCs w:val="18"/>
          <w:lang w:val="es-MX"/>
        </w:rPr>
      </w:pPr>
      <w:r w:rsidRPr="00E93A50">
        <w:rPr>
          <w:b/>
          <w:szCs w:val="18"/>
          <w:lang w:val="es-ES_tradnl"/>
        </w:rPr>
        <w:t>...</w:t>
      </w:r>
    </w:p>
    <w:p w14:paraId="1D3CF4C1" w14:textId="77777777" w:rsidR="001271F2" w:rsidRPr="00E93A50" w:rsidRDefault="001271F2" w:rsidP="00865490">
      <w:pPr>
        <w:pStyle w:val="Texto"/>
        <w:spacing w:line="234" w:lineRule="exact"/>
        <w:rPr>
          <w:szCs w:val="18"/>
          <w:lang w:val="es-MX"/>
        </w:rPr>
      </w:pPr>
      <w:r w:rsidRPr="00E93A50">
        <w:rPr>
          <w:b/>
          <w:szCs w:val="18"/>
          <w:lang w:val="es-ES_tradnl"/>
        </w:rPr>
        <w:t>...</w:t>
      </w:r>
    </w:p>
    <w:p w14:paraId="46866229" w14:textId="77777777" w:rsidR="001271F2" w:rsidRPr="00E93A50" w:rsidRDefault="001271F2" w:rsidP="00865490">
      <w:pPr>
        <w:pStyle w:val="Texto"/>
        <w:spacing w:line="234" w:lineRule="exact"/>
        <w:rPr>
          <w:szCs w:val="18"/>
          <w:lang w:val="es-MX"/>
        </w:rPr>
      </w:pPr>
      <w:r w:rsidRPr="00E93A50">
        <w:rPr>
          <w:b/>
          <w:szCs w:val="18"/>
          <w:lang w:val="es-ES_tradnl"/>
        </w:rPr>
        <w:t>...</w:t>
      </w:r>
    </w:p>
    <w:p w14:paraId="2C7094C4" w14:textId="77777777" w:rsidR="001271F2" w:rsidRPr="00E93A50" w:rsidRDefault="001271F2" w:rsidP="00865490">
      <w:pPr>
        <w:pStyle w:val="Texto"/>
        <w:spacing w:line="234" w:lineRule="exact"/>
        <w:rPr>
          <w:b/>
          <w:szCs w:val="18"/>
          <w:lang w:val="es-ES_tradnl"/>
        </w:rPr>
      </w:pPr>
      <w:r w:rsidRPr="00E93A50">
        <w:rPr>
          <w:b/>
          <w:szCs w:val="18"/>
          <w:lang w:val="es-ES_tradnl"/>
        </w:rPr>
        <w:t>...</w:t>
      </w:r>
    </w:p>
    <w:p w14:paraId="7607DCD2" w14:textId="77777777" w:rsidR="001271F2" w:rsidRPr="00E93A50" w:rsidRDefault="001271F2" w:rsidP="00865490">
      <w:pPr>
        <w:pStyle w:val="Texto"/>
        <w:spacing w:line="234" w:lineRule="exact"/>
        <w:rPr>
          <w:szCs w:val="18"/>
          <w:lang w:val="es-MX"/>
        </w:rPr>
      </w:pPr>
      <w:r w:rsidRPr="00E93A50">
        <w:rPr>
          <w:b/>
          <w:szCs w:val="18"/>
          <w:lang w:val="es-ES_tradnl"/>
        </w:rPr>
        <w:t>...</w:t>
      </w:r>
    </w:p>
    <w:p w14:paraId="26AF5848" w14:textId="77777777" w:rsidR="001271F2" w:rsidRPr="00E93A50" w:rsidRDefault="001271F2" w:rsidP="00865490">
      <w:pPr>
        <w:pStyle w:val="ANOTACION"/>
        <w:spacing w:line="234" w:lineRule="exact"/>
      </w:pPr>
      <w:r w:rsidRPr="00E93A50">
        <w:t>Transitorios</w:t>
      </w:r>
    </w:p>
    <w:p w14:paraId="2FDA7C87" w14:textId="77777777" w:rsidR="001271F2" w:rsidRPr="00E93A50" w:rsidRDefault="001271F2" w:rsidP="00865490">
      <w:pPr>
        <w:pStyle w:val="Texto"/>
        <w:spacing w:line="234" w:lineRule="exact"/>
        <w:rPr>
          <w:szCs w:val="18"/>
          <w:lang w:val="es-ES_tradnl"/>
        </w:rPr>
      </w:pPr>
      <w:r w:rsidRPr="00E93A50">
        <w:rPr>
          <w:b/>
          <w:szCs w:val="18"/>
          <w:lang w:val="es-ES_tradnl"/>
        </w:rPr>
        <w:lastRenderedPageBreak/>
        <w:t xml:space="preserve">Primero. </w:t>
      </w:r>
      <w:r w:rsidRPr="00E93A50">
        <w:rPr>
          <w:szCs w:val="18"/>
          <w:lang w:val="es-ES_tradnl"/>
        </w:rPr>
        <w:t xml:space="preserve">El presente Decreto entrará en vigor el 1 de enero de 2021, salvo lo dispuesto en los </w:t>
      </w:r>
      <w:r w:rsidR="00C60079">
        <w:rPr>
          <w:szCs w:val="18"/>
          <w:lang w:val="es-ES_tradnl"/>
        </w:rPr>
        <w:t xml:space="preserve"> </w:t>
      </w:r>
      <w:r w:rsidRPr="00E93A50">
        <w:rPr>
          <w:szCs w:val="18"/>
          <w:lang w:val="es-ES_tradnl"/>
        </w:rPr>
        <w:t>transitorios siguientes.</w:t>
      </w:r>
    </w:p>
    <w:p w14:paraId="6BE80DA0" w14:textId="77777777" w:rsidR="001271F2" w:rsidRDefault="001271F2" w:rsidP="00865490">
      <w:pPr>
        <w:pStyle w:val="Texto"/>
        <w:spacing w:line="234" w:lineRule="exact"/>
        <w:rPr>
          <w:szCs w:val="18"/>
          <w:lang w:val="es-ES_tradnl"/>
        </w:rPr>
      </w:pPr>
      <w:r w:rsidRPr="00E93A50">
        <w:rPr>
          <w:b/>
          <w:szCs w:val="18"/>
          <w:lang w:val="es-ES_tradnl"/>
        </w:rPr>
        <w:t xml:space="preserve">Segundo. </w:t>
      </w:r>
      <w:r w:rsidRPr="00E93A50">
        <w:rPr>
          <w:szCs w:val="18"/>
          <w:lang w:val="es-ES_tradnl"/>
        </w:rPr>
        <w:t>La cuota patronal prevista en el artículo 168, fracción II, inciso a), de la Ley del Seguro Social será aplicable de manera gradual, a partir del 1 de enero de 2023, de conformidad con la siguiente tabla:</w:t>
      </w:r>
    </w:p>
    <w:p w14:paraId="405F9103" w14:textId="77777777" w:rsidR="001271F2" w:rsidRDefault="008065AF" w:rsidP="00865490">
      <w:pPr>
        <w:pStyle w:val="Texto"/>
        <w:spacing w:line="240" w:lineRule="auto"/>
        <w:ind w:firstLine="0"/>
        <w:jc w:val="center"/>
        <w:rPr>
          <w:rFonts w:eastAsia="Calibri"/>
          <w:lang w:val="es-MX"/>
        </w:rPr>
      </w:pPr>
      <w:r w:rsidRPr="00B437CD">
        <w:rPr>
          <w:rFonts w:eastAsia="Calibri"/>
          <w:noProof/>
          <w:lang w:val="es-MX"/>
        </w:rPr>
        <w:drawing>
          <wp:inline distT="0" distB="0" distL="0" distR="0" wp14:anchorId="165843F0" wp14:editId="5332FA78">
            <wp:extent cx="5143500" cy="293370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2933700"/>
                    </a:xfrm>
                    <a:prstGeom prst="rect">
                      <a:avLst/>
                    </a:prstGeom>
                    <a:noFill/>
                    <a:ln>
                      <a:noFill/>
                    </a:ln>
                  </pic:spPr>
                </pic:pic>
              </a:graphicData>
            </a:graphic>
          </wp:inline>
        </w:drawing>
      </w:r>
    </w:p>
    <w:p w14:paraId="2D4AEA7F" w14:textId="77777777" w:rsidR="001271F2" w:rsidRPr="00E93A50" w:rsidRDefault="001271F2" w:rsidP="00865490">
      <w:pPr>
        <w:pStyle w:val="Texto"/>
        <w:spacing w:line="240" w:lineRule="auto"/>
        <w:rPr>
          <w:szCs w:val="18"/>
          <w:lang w:val="es-ES_tradnl"/>
        </w:rPr>
      </w:pPr>
      <w:r w:rsidRPr="00E93A50">
        <w:rPr>
          <w:szCs w:val="18"/>
          <w:lang w:val="es-ES_tradnl"/>
        </w:rPr>
        <w:t>Del 1 de enero de 2021 al 31 de diciembre de 2022:</w:t>
      </w:r>
    </w:p>
    <w:p w14:paraId="2E12CBC6" w14:textId="77777777" w:rsidR="001271F2" w:rsidRPr="00E93A50" w:rsidRDefault="001271F2" w:rsidP="00865490">
      <w:pPr>
        <w:pStyle w:val="ROMANOS"/>
        <w:spacing w:line="240" w:lineRule="auto"/>
        <w:rPr>
          <w:b/>
          <w:lang w:val="es-ES_tradnl"/>
        </w:rPr>
      </w:pPr>
      <w:r w:rsidRPr="008B55BB">
        <w:rPr>
          <w:b/>
          <w:lang w:val="es-ES_tradnl"/>
        </w:rPr>
        <w:t>I.</w:t>
      </w:r>
      <w:r w:rsidRPr="00E93A50">
        <w:rPr>
          <w:lang w:val="es-ES_tradnl"/>
        </w:rPr>
        <w:tab/>
        <w:t>Los patrones seguirán cubriendo, para los ramos de cesantía en edad avanzada y vejez, una cuota del tres punto ciento cincuenta por ciento sobre el salario base de cotización del trabajador.</w:t>
      </w:r>
    </w:p>
    <w:p w14:paraId="22204944" w14:textId="77777777" w:rsidR="001271F2" w:rsidRPr="008B55BB" w:rsidRDefault="001271F2" w:rsidP="00865490">
      <w:pPr>
        <w:pStyle w:val="ROMANOS"/>
        <w:spacing w:line="240" w:lineRule="auto"/>
        <w:rPr>
          <w:lang w:val="es-ES_tradnl"/>
        </w:rPr>
      </w:pPr>
      <w:r w:rsidRPr="008B55BB">
        <w:rPr>
          <w:b/>
          <w:lang w:val="es-ES_tradnl"/>
        </w:rPr>
        <w:t>II.</w:t>
      </w:r>
      <w:r w:rsidRPr="00E93A50">
        <w:rPr>
          <w:lang w:val="es-ES_tradnl"/>
        </w:rPr>
        <w:tab/>
        <w:t xml:space="preserve">El Gobierno Federal seguirá cubriendo en los ramos de cesantía en edad avanzada y vejez, la cuota social de conformidad con el artículo 168, fracción IV, de la Ley del Seguro Social vigente antes de la </w:t>
      </w:r>
      <w:r w:rsidRPr="008B55BB">
        <w:rPr>
          <w:lang w:val="es-ES_tradnl"/>
        </w:rPr>
        <w:t>entrada en vigor del presente Decreto.</w:t>
      </w:r>
    </w:p>
    <w:p w14:paraId="4BA7837A" w14:textId="77777777" w:rsidR="001271F2" w:rsidRPr="00E93A50" w:rsidRDefault="001271F2" w:rsidP="00865490">
      <w:pPr>
        <w:pStyle w:val="ROMANOS"/>
        <w:spacing w:line="240" w:lineRule="auto"/>
        <w:rPr>
          <w:b/>
          <w:lang w:val="es-ES_tradnl"/>
        </w:rPr>
      </w:pPr>
      <w:r w:rsidRPr="008B55BB">
        <w:rPr>
          <w:b/>
          <w:lang w:val="es-ES_tradnl"/>
        </w:rPr>
        <w:t>III.</w:t>
      </w:r>
      <w:r w:rsidRPr="00E93A50">
        <w:rPr>
          <w:lang w:val="es-ES_tradnl"/>
        </w:rPr>
        <w:tab/>
        <w:t>En los ramos de cesantía en edad avanzada y vejez, el Estado seguirá realizando una contribución igual al siete punto ciento cuarenta y tres por ciento del total de las cuotas patronales.</w:t>
      </w:r>
    </w:p>
    <w:p w14:paraId="746BCDFD" w14:textId="77777777" w:rsidR="001271F2" w:rsidRPr="00E93A50" w:rsidRDefault="001271F2" w:rsidP="00865490">
      <w:pPr>
        <w:pStyle w:val="Texto"/>
        <w:spacing w:line="240" w:lineRule="auto"/>
        <w:rPr>
          <w:szCs w:val="18"/>
          <w:lang w:val="es-ES_tradnl"/>
        </w:rPr>
      </w:pPr>
      <w:r w:rsidRPr="00E93A50">
        <w:rPr>
          <w:b/>
          <w:szCs w:val="18"/>
          <w:lang w:val="es-ES_tradnl"/>
        </w:rPr>
        <w:t xml:space="preserve">Tercero. </w:t>
      </w:r>
      <w:r w:rsidRPr="00E93A50">
        <w:rPr>
          <w:szCs w:val="18"/>
          <w:lang w:val="es-ES_tradnl"/>
        </w:rPr>
        <w:t>La cuota a cargo del Gobierno Federal prevista en el artículo 168, fracción IV, de la Ley del Seguro Social será aplicable a partir del 1 de enero de 2023.</w:t>
      </w:r>
    </w:p>
    <w:p w14:paraId="66CA479D" w14:textId="77777777" w:rsidR="001271F2" w:rsidRDefault="001271F2" w:rsidP="00865490">
      <w:pPr>
        <w:pStyle w:val="Texto"/>
        <w:spacing w:line="240" w:lineRule="auto"/>
        <w:rPr>
          <w:szCs w:val="18"/>
          <w:lang w:val="es-ES_tradnl"/>
        </w:rPr>
      </w:pPr>
      <w:r w:rsidRPr="00E93A50">
        <w:rPr>
          <w:szCs w:val="18"/>
          <w:lang w:val="es-ES_tradnl"/>
        </w:rPr>
        <w:t>Del 1 de enero al 31 de diciembre de 2023, el Gobierno Federal cubrirá mensualmente en los ramos de cesantía en edad avanzada y vejez, una cantidad por cada día de salario cotizado, por concepto de cuota social para los trabajadores que ganen de cuatro punto cero uno hasta siete punto cero nueve veces la Unidad de Medida y Actualización, que se depositará en la cuenta individual de cada trabajador asegurado conforme a la tabla siguiente:</w:t>
      </w:r>
    </w:p>
    <w:p w14:paraId="792A30AB" w14:textId="77777777" w:rsidR="001271F2" w:rsidRDefault="001271F2" w:rsidP="00865490">
      <w:pPr>
        <w:pStyle w:val="Texto"/>
        <w:spacing w:after="0" w:line="240" w:lineRule="auto"/>
        <w:ind w:firstLine="0"/>
        <w:jc w:val="center"/>
        <w:rPr>
          <w:szCs w:val="18"/>
          <w:lang w:val="es-ES_tradnl"/>
        </w:rPr>
      </w:pPr>
    </w:p>
    <w:p w14:paraId="6299F9C5" w14:textId="77777777" w:rsidR="001271F2" w:rsidRPr="00E93A50" w:rsidRDefault="001271F2" w:rsidP="00865490">
      <w:pPr>
        <w:pStyle w:val="Texto"/>
        <w:rPr>
          <w:szCs w:val="18"/>
          <w:lang w:val="es-ES_tradnl"/>
        </w:rPr>
      </w:pPr>
      <w:r w:rsidRPr="00E93A50">
        <w:rPr>
          <w:szCs w:val="18"/>
          <w:lang w:val="es-ES_tradnl"/>
        </w:rPr>
        <w:t>Los valores mencionados del importe de la cuota social, se actualizarán trimestralmente de conformidad con el Índice Nacional de Precios al Consumidor, en los meses de marzo, junio, septiembre y diciembre</w:t>
      </w:r>
      <w:r w:rsidR="00C60079">
        <w:rPr>
          <w:szCs w:val="18"/>
          <w:lang w:val="es-ES_tradnl"/>
        </w:rPr>
        <w:t xml:space="preserve"> </w:t>
      </w:r>
      <w:r w:rsidRPr="00E93A50">
        <w:rPr>
          <w:szCs w:val="18"/>
          <w:lang w:val="es-ES_tradnl"/>
        </w:rPr>
        <w:t>de 2023.</w:t>
      </w:r>
    </w:p>
    <w:p w14:paraId="480FD8E7" w14:textId="77777777" w:rsidR="001271F2" w:rsidRPr="00E93A50" w:rsidRDefault="001271F2" w:rsidP="00865490">
      <w:pPr>
        <w:pStyle w:val="Texto"/>
        <w:rPr>
          <w:szCs w:val="18"/>
          <w:lang w:val="es-MX"/>
        </w:rPr>
      </w:pPr>
      <w:r w:rsidRPr="00E93A50">
        <w:rPr>
          <w:b/>
          <w:szCs w:val="18"/>
          <w:lang w:val="es-ES_tradnl"/>
        </w:rPr>
        <w:t xml:space="preserve">Cuarto. </w:t>
      </w:r>
      <w:r w:rsidRPr="00E93A50">
        <w:rPr>
          <w:szCs w:val="18"/>
          <w:lang w:val="es-ES_tradnl"/>
        </w:rPr>
        <w:t>En la fecha en que entre en vigor el presente Decreto las semanas de cotización que se requieren para obtener los beneficios señalados en los artículos 154 y 162 de la Ley, así como para el cálculo de la pensión garantizada prevista en el artículo 170 serán setecientas cincuenta, y se incrementarán anualmente veinticinco semanas hasta alcanzar en el año 2031, las establecidas en dichos preceptos.</w:t>
      </w:r>
    </w:p>
    <w:p w14:paraId="2300E3B2" w14:textId="77777777" w:rsidR="001271F2" w:rsidRDefault="001271F2" w:rsidP="00865490">
      <w:pPr>
        <w:pStyle w:val="Texto"/>
        <w:rPr>
          <w:szCs w:val="18"/>
          <w:lang w:val="es-ES_tradnl"/>
        </w:rPr>
      </w:pPr>
      <w:r w:rsidRPr="00E93A50">
        <w:rPr>
          <w:szCs w:val="18"/>
          <w:lang w:val="es-ES_tradnl"/>
        </w:rPr>
        <w:t>La pensión garantizada a que se refiere el artículo 170 de la Ley, se pagará considerando la edad, semanas de cotización y rango salarial previstos en la siguiente tabla. Para estos efectos, el salario señalado se actualizará conforme al Índice Nacional de Precios al Consumidor a la fecha en que se pensione</w:t>
      </w:r>
      <w:r w:rsidR="00C60079">
        <w:rPr>
          <w:szCs w:val="18"/>
          <w:lang w:val="es-ES_tradnl"/>
        </w:rPr>
        <w:t xml:space="preserve"> </w:t>
      </w:r>
      <w:r w:rsidRPr="00E93A50">
        <w:rPr>
          <w:szCs w:val="18"/>
          <w:lang w:val="es-ES_tradnl"/>
        </w:rPr>
        <w:t>el trabajador.</w:t>
      </w:r>
    </w:p>
    <w:p w14:paraId="742BEBF8" w14:textId="77777777" w:rsidR="001271F2" w:rsidRPr="009E60E8" w:rsidRDefault="008065AF" w:rsidP="00A9790E">
      <w:pPr>
        <w:pStyle w:val="Texto"/>
        <w:spacing w:after="0" w:line="240" w:lineRule="auto"/>
        <w:ind w:right="187" w:firstLine="0"/>
        <w:jc w:val="center"/>
        <w:rPr>
          <w:rFonts w:ascii="Courier" w:eastAsia="Calibri" w:hAnsi="Courier" w:cs="Courier New"/>
          <w:lang w:val="es-ES_tradnl"/>
        </w:rPr>
      </w:pPr>
      <w:r w:rsidRPr="00A9790E">
        <w:rPr>
          <w:rFonts w:ascii="Courier" w:eastAsia="Calibri" w:hAnsi="Courier" w:cs="Courier New"/>
          <w:noProof/>
          <w:lang w:val="es-ES_tradnl"/>
        </w:rPr>
        <w:lastRenderedPageBreak/>
        <w:drawing>
          <wp:inline distT="0" distB="0" distL="0" distR="0" wp14:anchorId="65BFB4D8" wp14:editId="0689A7DA">
            <wp:extent cx="5257800" cy="1600200"/>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800" cy="1600200"/>
                    </a:xfrm>
                    <a:prstGeom prst="rect">
                      <a:avLst/>
                    </a:prstGeom>
                    <a:noFill/>
                    <a:ln>
                      <a:noFill/>
                    </a:ln>
                  </pic:spPr>
                </pic:pic>
              </a:graphicData>
            </a:graphic>
          </wp:inline>
        </w:drawing>
      </w:r>
    </w:p>
    <w:p w14:paraId="54086DCC" w14:textId="77777777" w:rsidR="001271F2" w:rsidRPr="00E93A50" w:rsidRDefault="001271F2" w:rsidP="00865490">
      <w:pPr>
        <w:pStyle w:val="Texto"/>
        <w:spacing w:line="225" w:lineRule="exact"/>
        <w:rPr>
          <w:szCs w:val="18"/>
          <w:lang w:val="es-ES_tradnl"/>
        </w:rPr>
      </w:pPr>
      <w:r w:rsidRPr="00E93A50">
        <w:rPr>
          <w:b/>
          <w:szCs w:val="18"/>
          <w:lang w:val="es-ES_tradnl"/>
        </w:rPr>
        <w:t xml:space="preserve">Quinto. </w:t>
      </w:r>
      <w:r w:rsidRPr="00E93A50">
        <w:rPr>
          <w:szCs w:val="18"/>
          <w:lang w:val="es-ES_tradnl"/>
        </w:rPr>
        <w:t>El Instituto Mexicano del Seguro Social, dentro de los seis meses siguientes a la fecha de entrada en vigor del presente Decreto, deberá enviar a la Secretaría de Hacienda y Crédito Público para su aprobación, la metodología para determinar el monto de la reserva que dicho Instituto constituirá para atender las solicitudes de devolución a que se refiere el artículo 302 de la Ley del Seguro Social.</w:t>
      </w:r>
    </w:p>
    <w:p w14:paraId="626909BE" w14:textId="77777777" w:rsidR="001271F2" w:rsidRPr="00E93A50" w:rsidRDefault="001271F2" w:rsidP="00865490">
      <w:pPr>
        <w:pStyle w:val="Texto"/>
        <w:spacing w:line="225" w:lineRule="exact"/>
        <w:rPr>
          <w:szCs w:val="18"/>
          <w:lang w:val="es-ES_tradnl"/>
        </w:rPr>
      </w:pPr>
      <w:r w:rsidRPr="00E93A50">
        <w:rPr>
          <w:szCs w:val="18"/>
          <w:lang w:val="es-ES_tradnl"/>
        </w:rPr>
        <w:t>Las Administradoras de Fondos para el Retiro y las instituciones que realicen funciones similares de naturaleza pública, en los términos y en el plazo que al efecto establezca la Secretaría de Hacienda y Crédito Público, deberán efectuar los traspasos de los recursos a que se refiere el citado artículo 302 al Instituto Mexicano del Seguro Social.</w:t>
      </w:r>
    </w:p>
    <w:p w14:paraId="72A7A7AB" w14:textId="77777777" w:rsidR="001271F2" w:rsidRPr="00E93A50" w:rsidRDefault="001271F2" w:rsidP="00865490">
      <w:pPr>
        <w:pStyle w:val="Texto"/>
        <w:spacing w:line="225" w:lineRule="exact"/>
        <w:rPr>
          <w:szCs w:val="18"/>
          <w:lang w:val="es-ES_tradnl"/>
        </w:rPr>
      </w:pPr>
      <w:r w:rsidRPr="00E93A50">
        <w:rPr>
          <w:b/>
          <w:szCs w:val="18"/>
          <w:lang w:val="es-ES_tradnl"/>
        </w:rPr>
        <w:t xml:space="preserve">Sexto. </w:t>
      </w:r>
      <w:r w:rsidRPr="00E93A50">
        <w:rPr>
          <w:szCs w:val="18"/>
          <w:lang w:val="es-ES_tradnl"/>
        </w:rPr>
        <w:t>La Secretaría de Hacienda y Crédito Público podrá revisar los procedimientos que el Instituto Mexicano del Seguro Social lleve a cabo para otorgar las prestaciones del "Régimen de Jubilaciones y Pensiones", establecido con base en el contrato colectivo de trabajo suscrito entre el propio Instituto y sus trabajadores y ordenar las modificaciones que estime convenientes con el fin de transparentar el otorgamiento de los beneficios que se otorgan conforme a dicho régimen y la Ley del Seguro Social publicada en el Diario Oficial de la Federación el doce de marzo de 1973.</w:t>
      </w:r>
    </w:p>
    <w:p w14:paraId="24D84FAC" w14:textId="77777777" w:rsidR="001271F2" w:rsidRPr="00E93A50" w:rsidRDefault="001271F2" w:rsidP="00865490">
      <w:pPr>
        <w:pStyle w:val="Texto"/>
        <w:spacing w:line="225" w:lineRule="exact"/>
        <w:rPr>
          <w:szCs w:val="18"/>
          <w:lang w:val="es-ES_tradnl"/>
        </w:rPr>
      </w:pPr>
      <w:r w:rsidRPr="00E93A50">
        <w:rPr>
          <w:b/>
          <w:szCs w:val="18"/>
          <w:lang w:val="es-ES_tradnl"/>
        </w:rPr>
        <w:t xml:space="preserve">Séptimo. </w:t>
      </w:r>
      <w:r w:rsidRPr="00E93A50">
        <w:rPr>
          <w:szCs w:val="18"/>
          <w:lang w:val="es-ES_tradnl"/>
        </w:rPr>
        <w:t>La Comisión Nacional del Sistema de Ahorro para el Retiro, a los diez años siguientes de la fecha de entrada en vigor del presente Decreto, deberá enviar a la Secretaría de Hacienda y Crédito Público el análisis de los resultados obtenidos de la aplicación del mismo, a fin de que esta última informe lo que corresponda al Congreso de la Unión.</w:t>
      </w:r>
    </w:p>
    <w:p w14:paraId="19753967" w14:textId="77777777" w:rsidR="001271F2" w:rsidRPr="00E93A50" w:rsidRDefault="001271F2" w:rsidP="00865490">
      <w:pPr>
        <w:pStyle w:val="Texto"/>
        <w:spacing w:line="225" w:lineRule="exact"/>
        <w:rPr>
          <w:szCs w:val="18"/>
          <w:lang w:val="es-ES_tradnl"/>
        </w:rPr>
      </w:pPr>
      <w:r w:rsidRPr="00E93A50">
        <w:rPr>
          <w:b/>
          <w:szCs w:val="18"/>
          <w:lang w:val="es-ES_tradnl"/>
        </w:rPr>
        <w:t xml:space="preserve">Octavo. </w:t>
      </w:r>
      <w:r w:rsidRPr="00E93A50">
        <w:rPr>
          <w:szCs w:val="18"/>
          <w:lang w:val="es-ES_tradnl"/>
        </w:rPr>
        <w:t>El Instituto Mexicano del Seguro Social, la Comisión Nacional del Sistema de Ahorro para el Retiro, la Comisión Nacional de Seguros y Fianzas y el Instituto del Fondo Nacional de la Vivienda para los Trabajadores, deberán ajustar los sistemas y procedimientos que resulten necesarios para instrumentar las reformas previstas en este Decreto.</w:t>
      </w:r>
    </w:p>
    <w:p w14:paraId="4127D592" w14:textId="77777777" w:rsidR="001271F2" w:rsidRPr="00E93A50" w:rsidRDefault="001271F2" w:rsidP="00865490">
      <w:pPr>
        <w:pStyle w:val="Texto"/>
        <w:spacing w:line="225" w:lineRule="exact"/>
        <w:rPr>
          <w:szCs w:val="18"/>
          <w:lang w:val="es-ES_tradnl"/>
        </w:rPr>
      </w:pPr>
      <w:r w:rsidRPr="00E93A50">
        <w:rPr>
          <w:b/>
          <w:szCs w:val="18"/>
          <w:lang w:val="es-ES_tradnl"/>
        </w:rPr>
        <w:t xml:space="preserve">Noveno. </w:t>
      </w:r>
      <w:r w:rsidRPr="00E93A50">
        <w:rPr>
          <w:szCs w:val="18"/>
          <w:lang w:val="es-ES_tradnl"/>
        </w:rPr>
        <w:t>Dentro de los seis meses siguientes a la fecha de entrada en vigor del presente Decreto, la Comisión Nacional del Sistema de Ahorro para el Retiro, deberá emitir las modificaciones a las disposiciones de carácter general, que sean necesarias para que las Administradoras de Fondos para el Retiro y las instituciones que realicen funciones similares de naturaleza pública, instrumenten lo relativo a la designación de beneficiarios a que se refiere el artículo 193 de la Ley del Seguro Social.</w:t>
      </w:r>
    </w:p>
    <w:p w14:paraId="303921E0" w14:textId="77777777" w:rsidR="001271F2" w:rsidRPr="00E93A50" w:rsidRDefault="001271F2" w:rsidP="00865490">
      <w:pPr>
        <w:pStyle w:val="Texto"/>
        <w:spacing w:line="225" w:lineRule="exact"/>
        <w:rPr>
          <w:szCs w:val="18"/>
          <w:lang w:val="es-ES_tradnl"/>
        </w:rPr>
      </w:pPr>
      <w:r w:rsidRPr="00E93A50">
        <w:rPr>
          <w:szCs w:val="18"/>
          <w:lang w:val="es-ES_tradnl"/>
        </w:rPr>
        <w:t>La designación de beneficiarios que se realice por los trabajadores a partir de la entrada en vigor del presente Decreto, en términos de lo dispuesto por el artículo 193 de la Ley del Seguro Social, surtirá efectos a partir de la fecha en que las Administradoras de Fondos para el Retiro y las instituciones que realicen funciones similares de naturaleza pública, instrumenten los ajustes correspondientes de conformidad con las disposiciones de carácter general que emita la Comisión Nacional del Sistema de Ahorro para el Retiro.</w:t>
      </w:r>
    </w:p>
    <w:p w14:paraId="1AD54E11" w14:textId="77777777" w:rsidR="001271F2" w:rsidRPr="00E93A50" w:rsidRDefault="001271F2" w:rsidP="00865490">
      <w:pPr>
        <w:pStyle w:val="Texto"/>
        <w:spacing w:line="225" w:lineRule="exact"/>
        <w:rPr>
          <w:szCs w:val="18"/>
          <w:lang w:val="es-ES_tradnl"/>
        </w:rPr>
      </w:pPr>
      <w:r w:rsidRPr="00E93A50">
        <w:rPr>
          <w:szCs w:val="18"/>
          <w:lang w:val="es-ES_tradnl"/>
        </w:rPr>
        <w:t>La designación de beneficiarios sustitutos efectuada en términos del artículo 193 de la Ley del Seguro Social, con anterioridad a la entrada en vigor del presente Decreto, mantendrá su vigencia para el caso en que no haya beneficiarios del trabajador titular de la cuenta individual en términos de la legislación común.</w:t>
      </w:r>
    </w:p>
    <w:p w14:paraId="0420A4CA" w14:textId="77777777" w:rsidR="001271F2" w:rsidRPr="00E93A50" w:rsidRDefault="001271F2" w:rsidP="00865490">
      <w:pPr>
        <w:pStyle w:val="Texto"/>
        <w:spacing w:line="225" w:lineRule="exact"/>
        <w:rPr>
          <w:szCs w:val="18"/>
          <w:lang w:val="es-ES_tradnl"/>
        </w:rPr>
      </w:pPr>
      <w:r w:rsidRPr="00E93A50">
        <w:rPr>
          <w:szCs w:val="18"/>
          <w:lang w:val="es-ES_tradnl"/>
        </w:rPr>
        <w:t>Los procedimientos de designación de beneficiarios que, a la fecha de entrada en vigor del presente Decreto, se encuentren en trámite ante las juntas o tribunales de conciliación y arbitraje, en términos del artículo 501 de la Ley Federal del Trabajo, continuarán substanciándose de conformidad con lo dispuesto por dicha ley.</w:t>
      </w:r>
    </w:p>
    <w:p w14:paraId="735E9F37" w14:textId="77777777" w:rsidR="001271F2" w:rsidRPr="00E93A50" w:rsidRDefault="001271F2" w:rsidP="00865490">
      <w:pPr>
        <w:pStyle w:val="Texto"/>
        <w:spacing w:line="225" w:lineRule="exact"/>
        <w:rPr>
          <w:szCs w:val="18"/>
          <w:lang w:val="es-ES_tradnl"/>
        </w:rPr>
      </w:pPr>
      <w:r w:rsidRPr="00E93A50">
        <w:rPr>
          <w:b/>
          <w:szCs w:val="18"/>
          <w:lang w:val="es-ES_tradnl"/>
        </w:rPr>
        <w:t xml:space="preserve">Décimo. </w:t>
      </w:r>
      <w:r w:rsidRPr="00E93A50">
        <w:rPr>
          <w:szCs w:val="18"/>
          <w:lang w:val="es-ES_tradnl"/>
        </w:rPr>
        <w:t>Para efectos de lo dispuesto en el artículo 37, párrafo octavo, de la Ley de los Sistemas de Ahorro para el Retiro, la Junta de Gobierno de la Comisión Nacional del Sistema de Ahorro para el Retiro contará con un plazo de 30 días hábiles a partir de la entrada en vigor del presente Decreto, para realizar las modificaciones necesarias a las disposiciones de carácter general correspondientes a efecto de dar cumplimiento a lo dispuesto en el mismo.</w:t>
      </w:r>
    </w:p>
    <w:p w14:paraId="100EE5EA" w14:textId="77777777" w:rsidR="001271F2" w:rsidRPr="00E93A50" w:rsidRDefault="001271F2" w:rsidP="00865490">
      <w:pPr>
        <w:pStyle w:val="Texto"/>
        <w:spacing w:line="225" w:lineRule="exact"/>
        <w:rPr>
          <w:szCs w:val="18"/>
          <w:lang w:val="es-ES_tradnl"/>
        </w:rPr>
      </w:pPr>
      <w:r w:rsidRPr="00E93A50">
        <w:rPr>
          <w:b/>
          <w:szCs w:val="18"/>
          <w:lang w:val="es-ES_tradnl"/>
        </w:rPr>
        <w:lastRenderedPageBreak/>
        <w:t xml:space="preserve">Décimo Primero. </w:t>
      </w:r>
      <w:r w:rsidRPr="00E93A50">
        <w:rPr>
          <w:szCs w:val="18"/>
          <w:lang w:val="es-ES_tradnl"/>
        </w:rPr>
        <w:t>Se derogan todas aquellas disposiciones que se opongan a lo previsto el presente Decreto.</w:t>
      </w:r>
    </w:p>
    <w:p w14:paraId="2696E8E6" w14:textId="77777777" w:rsidR="001271F2" w:rsidRPr="00E93A50" w:rsidRDefault="001271F2" w:rsidP="00865490">
      <w:pPr>
        <w:pStyle w:val="Texto"/>
        <w:spacing w:line="225" w:lineRule="exact"/>
        <w:rPr>
          <w:szCs w:val="18"/>
          <w:lang w:val="es-MX"/>
        </w:rPr>
      </w:pPr>
      <w:r w:rsidRPr="008B55BB">
        <w:rPr>
          <w:szCs w:val="18"/>
          <w:lang w:val="es-MX"/>
        </w:rPr>
        <w:t xml:space="preserve">Ciudad de México, a 9 de diciembre de 2020.- Dip. </w:t>
      </w:r>
      <w:r w:rsidRPr="008B55BB">
        <w:rPr>
          <w:b/>
          <w:szCs w:val="18"/>
          <w:lang w:val="es-MX"/>
        </w:rPr>
        <w:t>Dulce María Sauri Riancho</w:t>
      </w:r>
      <w:r w:rsidRPr="008B55BB">
        <w:rPr>
          <w:szCs w:val="18"/>
          <w:lang w:val="es-MX"/>
        </w:rPr>
        <w:t xml:space="preserve">, Presidenta.- Sen. </w:t>
      </w:r>
      <w:r w:rsidRPr="008B55BB">
        <w:rPr>
          <w:b/>
          <w:szCs w:val="18"/>
          <w:lang w:val="es-MX"/>
        </w:rPr>
        <w:t>Oscar Eduardo Ramírez Aguilar</w:t>
      </w:r>
      <w:r w:rsidRPr="008B55BB">
        <w:rPr>
          <w:szCs w:val="18"/>
          <w:lang w:val="es-MX"/>
        </w:rPr>
        <w:t xml:space="preserve">, Presidente.- Dip. </w:t>
      </w:r>
      <w:r w:rsidRPr="008B55BB">
        <w:rPr>
          <w:b/>
          <w:szCs w:val="18"/>
          <w:lang w:val="es-MX"/>
        </w:rPr>
        <w:t>Julieta Macías Rábago</w:t>
      </w:r>
      <w:r w:rsidRPr="008B55BB">
        <w:rPr>
          <w:szCs w:val="18"/>
          <w:lang w:val="es-MX"/>
        </w:rPr>
        <w:t xml:space="preserve">, Secretaria.- Sen. </w:t>
      </w:r>
      <w:r w:rsidRPr="008B55BB">
        <w:rPr>
          <w:b/>
          <w:szCs w:val="18"/>
          <w:lang w:val="es-MX"/>
        </w:rPr>
        <w:t>Lilia Margarita Valdez Martínez</w:t>
      </w:r>
      <w:r w:rsidRPr="008B55BB">
        <w:rPr>
          <w:szCs w:val="18"/>
          <w:lang w:val="es-MX"/>
        </w:rPr>
        <w:t>, Secretaria.- Rúbricas</w:t>
      </w:r>
      <w:r w:rsidRPr="00E93A50">
        <w:rPr>
          <w:szCs w:val="18"/>
          <w:lang w:val="es-MX"/>
        </w:rPr>
        <w:t>.</w:t>
      </w:r>
      <w:r w:rsidRPr="00E93A50">
        <w:rPr>
          <w:b/>
          <w:szCs w:val="18"/>
        </w:rPr>
        <w:t>"</w:t>
      </w:r>
    </w:p>
    <w:p w14:paraId="06717D73" w14:textId="77777777" w:rsidR="001271F2" w:rsidRPr="00E93A50" w:rsidRDefault="001271F2" w:rsidP="00865490">
      <w:pPr>
        <w:pStyle w:val="Texto"/>
        <w:spacing w:line="225" w:lineRule="exact"/>
      </w:pPr>
      <w:r w:rsidRPr="00E93A50">
        <w:rPr>
          <w:szCs w:val="18"/>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Pr>
          <w:szCs w:val="18"/>
          <w:lang w:val="es-MX"/>
        </w:rPr>
        <w:t>a 15 de diciembre de 2020</w:t>
      </w:r>
      <w:r w:rsidRPr="000834D4">
        <w:t xml:space="preserve">.- </w:t>
      </w:r>
      <w:r w:rsidRPr="00455616">
        <w:rPr>
          <w:b/>
          <w:lang w:val="es-MX" w:eastAsia="es-MX"/>
        </w:rPr>
        <w:t>Andrés Manuel López Obrador</w:t>
      </w:r>
      <w:r w:rsidRPr="00455616">
        <w:t xml:space="preserve">.- Rúbrica.- </w:t>
      </w:r>
      <w:r w:rsidRPr="00455616">
        <w:rPr>
          <w:lang w:val="es-MX" w:eastAsia="es-MX"/>
        </w:rPr>
        <w:t xml:space="preserve">La Secretaria de Gobernación, </w:t>
      </w:r>
      <w:r w:rsidRPr="00722E28">
        <w:rPr>
          <w:lang w:val="es-MX" w:eastAsia="es-MX"/>
        </w:rPr>
        <w:t>Dra.</w:t>
      </w:r>
      <w:r w:rsidRPr="00740A44">
        <w:rPr>
          <w:b/>
          <w:lang w:val="es-MX" w:eastAsia="es-MX"/>
        </w:rPr>
        <w:t xml:space="preserve"> </w:t>
      </w:r>
      <w:r w:rsidRPr="00740A44">
        <w:rPr>
          <w:b/>
        </w:rPr>
        <w:t>Olga</w:t>
      </w:r>
      <w:r w:rsidRPr="007D7B94">
        <w:rPr>
          <w:b/>
        </w:rPr>
        <w:t xml:space="preserve"> María del Carmen Sánchez Cordero Dávila</w:t>
      </w:r>
      <w:r>
        <w:t>.-</w:t>
      </w:r>
      <w:r w:rsidRPr="00455616">
        <w:rPr>
          <w:bCs/>
          <w:lang w:val="es-MX" w:eastAsia="es-MX"/>
        </w:rPr>
        <w:t xml:space="preserve"> Rúbrica.</w:t>
      </w:r>
    </w:p>
    <w:p w14:paraId="4AE6599A" w14:textId="77777777" w:rsidR="00896338" w:rsidRPr="00C60079" w:rsidRDefault="00054A7A" w:rsidP="00896338">
      <w:pPr>
        <w:pStyle w:val="Titulo1"/>
        <w:rPr>
          <w:rFonts w:cs="Times New Roman"/>
        </w:rPr>
      </w:pPr>
      <w:r w:rsidRPr="00C60079">
        <w:rPr>
          <w:rFonts w:cs="Times New Roman"/>
        </w:rPr>
        <w:t xml:space="preserve">ACUERDO </w:t>
      </w:r>
      <w:r w:rsidR="00896338" w:rsidRPr="00C60079">
        <w:rPr>
          <w:rFonts w:cs="Times New Roman"/>
        </w:rPr>
        <w:t>por el que se da a conocer el calendario mensual del pronóstico de los ingresos contenidos en el artículo 1o. de la Ley de Ingresos de la Federación para el Ejercicio Fiscal de 2021 y la metodología utilizada para realizar dicho pronóstico.</w:t>
      </w:r>
    </w:p>
    <w:p w14:paraId="020844F6" w14:textId="77777777" w:rsidR="007D1689" w:rsidRPr="00C60079" w:rsidRDefault="007D1689">
      <w:pPr>
        <w:pStyle w:val="Titulo2"/>
      </w:pPr>
      <w:r w:rsidRPr="00C60079">
        <w:t>Al margen un sello con el Escudo Nacional, que dice: Estados Unidos Mexicanos.- SHCP.- Secretaría de Hacienda.</w:t>
      </w:r>
    </w:p>
    <w:p w14:paraId="124A46F2" w14:textId="77777777" w:rsidR="00896338" w:rsidRDefault="00896338" w:rsidP="00896338">
      <w:pPr>
        <w:pStyle w:val="ANOTACION"/>
        <w:rPr>
          <w:lang w:eastAsia="es-MX"/>
        </w:rPr>
      </w:pPr>
      <w:r w:rsidRPr="00896338">
        <w:rPr>
          <w:lang w:eastAsia="es-MX"/>
        </w:rPr>
        <w:t>ACUERDO 134/2020</w:t>
      </w:r>
    </w:p>
    <w:p w14:paraId="46906086" w14:textId="77777777" w:rsidR="00896338" w:rsidRPr="00896338" w:rsidRDefault="00896338" w:rsidP="00896338">
      <w:pPr>
        <w:pStyle w:val="Texto"/>
        <w:rPr>
          <w:b/>
          <w:lang w:eastAsia="es-MX"/>
        </w:rPr>
      </w:pPr>
      <w:r w:rsidRPr="00896338">
        <w:rPr>
          <w:b/>
          <w:lang w:eastAsia="es-MX"/>
        </w:rPr>
        <w:t>Acuerdo por el que se da a conocer el calendario mensual del pronóstico de los ingresos contenidos en el artículo 1o. de la Ley de Ingresos de la Federación para el Ejercicio Fiscal de 2021 y la metodología utilizada para realizar dicho pronóstico.</w:t>
      </w:r>
    </w:p>
    <w:p w14:paraId="2BD3BE69" w14:textId="77777777" w:rsidR="00896338" w:rsidRPr="00896338" w:rsidRDefault="00896338" w:rsidP="00896338">
      <w:pPr>
        <w:pStyle w:val="Texto"/>
        <w:rPr>
          <w:b/>
          <w:lang w:eastAsia="es-MX"/>
        </w:rPr>
      </w:pPr>
      <w:r w:rsidRPr="00896338">
        <w:rPr>
          <w:b/>
          <w:lang w:eastAsia="es-MX"/>
        </w:rPr>
        <w:t xml:space="preserve">Único. </w:t>
      </w:r>
      <w:r w:rsidRPr="00896338">
        <w:rPr>
          <w:lang w:eastAsia="es-MX"/>
        </w:rPr>
        <w:t>En cumplimiento a la obligación contenida en el séptimo párrafo del artículo 23 de la Ley Federal de Presupuesto y Responsabilidad Hacendaria, se da a conocer el calendario mensual del pronóstico de los ingresos contenidos en el artículo 1o. de la Ley de Ingresos de la Federación para el Ejercicio Fiscal de 2021 y la metodología utilizada para realizar dicho pronóstico.</w:t>
      </w:r>
    </w:p>
    <w:p w14:paraId="753C91CA" w14:textId="77777777" w:rsidR="00896338" w:rsidRPr="00896338" w:rsidRDefault="00896338" w:rsidP="00054A7A">
      <w:pPr>
        <w:pStyle w:val="Texto"/>
        <w:ind w:firstLine="0"/>
        <w:jc w:val="center"/>
        <w:rPr>
          <w:b/>
        </w:rPr>
      </w:pPr>
      <w:r w:rsidRPr="00896338">
        <w:rPr>
          <w:b/>
        </w:rPr>
        <w:t>CALENDARIO MENSUAL DEL PRONÓSTICO DE LOS INGRESOS DEL SECTOR</w:t>
      </w:r>
      <w:r w:rsidR="00C60079">
        <w:rPr>
          <w:b/>
        </w:rPr>
        <w:t xml:space="preserve"> </w:t>
      </w:r>
      <w:r w:rsidRPr="00896338">
        <w:rPr>
          <w:b/>
        </w:rPr>
        <w:t>PÚBLICO PARA EL AÑO 2021</w:t>
      </w:r>
    </w:p>
    <w:tbl>
      <w:tblPr>
        <w:tblW w:w="8712" w:type="dxa"/>
        <w:jc w:val="center"/>
        <w:tblLayout w:type="fixed"/>
        <w:tblCellMar>
          <w:left w:w="70" w:type="dxa"/>
          <w:right w:w="70" w:type="dxa"/>
        </w:tblCellMar>
        <w:tblLook w:val="04A0" w:firstRow="1" w:lastRow="0" w:firstColumn="1" w:lastColumn="0" w:noHBand="0" w:noVBand="1"/>
      </w:tblPr>
      <w:tblGrid>
        <w:gridCol w:w="3262"/>
        <w:gridCol w:w="894"/>
        <w:gridCol w:w="918"/>
        <w:gridCol w:w="936"/>
        <w:gridCol w:w="912"/>
        <w:gridCol w:w="888"/>
        <w:gridCol w:w="902"/>
      </w:tblGrid>
      <w:tr w:rsidR="00054A7A" w:rsidRPr="00054A7A" w14:paraId="592FD0C0" w14:textId="77777777">
        <w:trPr>
          <w:trHeight w:val="20"/>
          <w:jc w:val="center"/>
        </w:trPr>
        <w:tc>
          <w:tcPr>
            <w:tcW w:w="10781" w:type="dxa"/>
            <w:gridSpan w:val="7"/>
            <w:tcBorders>
              <w:top w:val="single" w:sz="4" w:space="0" w:color="auto"/>
              <w:left w:val="single" w:sz="4" w:space="0" w:color="auto"/>
              <w:bottom w:val="nil"/>
              <w:right w:val="single" w:sz="4" w:space="0" w:color="000000"/>
            </w:tcBorders>
            <w:shd w:val="clear" w:color="auto" w:fill="auto"/>
            <w:noWrap/>
            <w:vAlign w:val="center"/>
          </w:tcPr>
          <w:p w14:paraId="2FB1F5CF" w14:textId="77777777" w:rsidR="00896338" w:rsidRPr="007D1689" w:rsidRDefault="00896338" w:rsidP="001271F2">
            <w:pPr>
              <w:pStyle w:val="Texto"/>
              <w:spacing w:before="40" w:after="40" w:line="224" w:lineRule="exact"/>
              <w:ind w:firstLine="0"/>
              <w:jc w:val="center"/>
              <w:rPr>
                <w:b/>
                <w:bCs/>
                <w:sz w:val="13"/>
                <w:szCs w:val="13"/>
                <w:lang w:eastAsia="es-MX"/>
              </w:rPr>
            </w:pPr>
            <w:r w:rsidRPr="007D1689">
              <w:rPr>
                <w:b/>
                <w:bCs/>
                <w:sz w:val="13"/>
                <w:szCs w:val="13"/>
                <w:lang w:eastAsia="es-MX"/>
              </w:rPr>
              <w:t>CALENDARIO MENSUAL DEL PRONÓSTICO DE LOS INGRESOS DEL SECTOR PÚBLICO PARA EL AÑO 2021</w:t>
            </w:r>
          </w:p>
        </w:tc>
      </w:tr>
      <w:tr w:rsidR="00896338" w:rsidRPr="00054A7A" w14:paraId="2E2C7508" w14:textId="77777777">
        <w:trPr>
          <w:trHeight w:val="20"/>
          <w:jc w:val="center"/>
        </w:trPr>
        <w:tc>
          <w:tcPr>
            <w:tcW w:w="10781" w:type="dxa"/>
            <w:gridSpan w:val="7"/>
            <w:tcBorders>
              <w:top w:val="nil"/>
              <w:left w:val="single" w:sz="4" w:space="0" w:color="auto"/>
              <w:bottom w:val="nil"/>
              <w:right w:val="single" w:sz="4" w:space="0" w:color="000000"/>
            </w:tcBorders>
            <w:shd w:val="clear" w:color="auto" w:fill="auto"/>
            <w:noWrap/>
            <w:vAlign w:val="center"/>
          </w:tcPr>
          <w:p w14:paraId="1A684BB1" w14:textId="77777777" w:rsidR="00896338" w:rsidRPr="007D1689" w:rsidRDefault="00896338" w:rsidP="001271F2">
            <w:pPr>
              <w:pStyle w:val="Texto"/>
              <w:spacing w:before="40" w:after="40" w:line="224" w:lineRule="exact"/>
              <w:ind w:firstLine="0"/>
              <w:jc w:val="center"/>
              <w:rPr>
                <w:b/>
                <w:bCs/>
                <w:sz w:val="13"/>
                <w:szCs w:val="13"/>
                <w:lang w:eastAsia="es-MX"/>
              </w:rPr>
            </w:pPr>
            <w:r w:rsidRPr="007D1689">
              <w:rPr>
                <w:b/>
                <w:bCs/>
                <w:sz w:val="13"/>
                <w:szCs w:val="13"/>
                <w:lang w:eastAsia="es-MX"/>
              </w:rPr>
              <w:t>1a. SECCIÓN</w:t>
            </w:r>
          </w:p>
        </w:tc>
      </w:tr>
      <w:tr w:rsidR="00896338" w:rsidRPr="00054A7A" w14:paraId="61A29D96" w14:textId="77777777">
        <w:trPr>
          <w:trHeight w:val="20"/>
          <w:jc w:val="center"/>
        </w:trPr>
        <w:tc>
          <w:tcPr>
            <w:tcW w:w="10781" w:type="dxa"/>
            <w:gridSpan w:val="7"/>
            <w:tcBorders>
              <w:top w:val="nil"/>
              <w:left w:val="single" w:sz="4" w:space="0" w:color="auto"/>
              <w:bottom w:val="single" w:sz="4" w:space="0" w:color="auto"/>
              <w:right w:val="single" w:sz="4" w:space="0" w:color="000000"/>
            </w:tcBorders>
            <w:shd w:val="clear" w:color="auto" w:fill="auto"/>
            <w:noWrap/>
            <w:vAlign w:val="center"/>
          </w:tcPr>
          <w:p w14:paraId="7A92826E" w14:textId="77777777" w:rsidR="00896338" w:rsidRPr="007D1689" w:rsidRDefault="00896338" w:rsidP="001271F2">
            <w:pPr>
              <w:pStyle w:val="Texto"/>
              <w:spacing w:before="40" w:after="40" w:line="224" w:lineRule="exact"/>
              <w:ind w:firstLine="0"/>
              <w:jc w:val="center"/>
              <w:rPr>
                <w:b/>
                <w:bCs/>
                <w:sz w:val="13"/>
                <w:szCs w:val="13"/>
                <w:lang w:eastAsia="es-MX"/>
              </w:rPr>
            </w:pPr>
            <w:r w:rsidRPr="007D1689">
              <w:rPr>
                <w:b/>
                <w:bCs/>
                <w:sz w:val="13"/>
                <w:szCs w:val="13"/>
                <w:lang w:eastAsia="es-MX"/>
              </w:rPr>
              <w:t>(MILLONES DE PESOS)</w:t>
            </w:r>
          </w:p>
        </w:tc>
      </w:tr>
      <w:tr w:rsidR="00896338" w:rsidRPr="00054A7A" w14:paraId="1DBBC3D1" w14:textId="77777777">
        <w:trPr>
          <w:trHeight w:val="20"/>
          <w:jc w:val="center"/>
        </w:trPr>
        <w:tc>
          <w:tcPr>
            <w:tcW w:w="4107" w:type="dxa"/>
            <w:tcBorders>
              <w:top w:val="nil"/>
              <w:left w:val="single" w:sz="4" w:space="0" w:color="auto"/>
              <w:bottom w:val="single" w:sz="4" w:space="0" w:color="auto"/>
              <w:right w:val="single" w:sz="4" w:space="0" w:color="auto"/>
            </w:tcBorders>
            <w:shd w:val="clear" w:color="auto" w:fill="auto"/>
            <w:noWrap/>
            <w:vAlign w:val="center"/>
          </w:tcPr>
          <w:p w14:paraId="3684656D" w14:textId="77777777" w:rsidR="00896338" w:rsidRPr="007D1689" w:rsidRDefault="00896338" w:rsidP="001271F2">
            <w:pPr>
              <w:pStyle w:val="Texto"/>
              <w:spacing w:before="40" w:after="40" w:line="224" w:lineRule="exact"/>
              <w:ind w:firstLine="0"/>
              <w:jc w:val="center"/>
              <w:rPr>
                <w:b/>
                <w:bCs/>
                <w:sz w:val="13"/>
                <w:szCs w:val="13"/>
                <w:lang w:eastAsia="es-MX"/>
              </w:rPr>
            </w:pPr>
            <w:r w:rsidRPr="007D1689">
              <w:rPr>
                <w:b/>
                <w:bCs/>
                <w:sz w:val="13"/>
                <w:szCs w:val="13"/>
                <w:lang w:eastAsia="es-MX"/>
              </w:rPr>
              <w:t>Conceptos</w:t>
            </w:r>
          </w:p>
        </w:tc>
        <w:tc>
          <w:tcPr>
            <w:tcW w:w="1094" w:type="dxa"/>
            <w:tcBorders>
              <w:top w:val="nil"/>
              <w:left w:val="nil"/>
              <w:bottom w:val="single" w:sz="4" w:space="0" w:color="auto"/>
              <w:right w:val="single" w:sz="4" w:space="0" w:color="auto"/>
            </w:tcBorders>
            <w:shd w:val="clear" w:color="auto" w:fill="auto"/>
            <w:noWrap/>
            <w:vAlign w:val="center"/>
          </w:tcPr>
          <w:p w14:paraId="1033C996" w14:textId="77777777" w:rsidR="00896338" w:rsidRPr="007D1689" w:rsidRDefault="00896338" w:rsidP="001271F2">
            <w:pPr>
              <w:pStyle w:val="Texto"/>
              <w:spacing w:before="40" w:after="40" w:line="224" w:lineRule="exact"/>
              <w:ind w:firstLine="0"/>
              <w:jc w:val="center"/>
              <w:rPr>
                <w:b/>
                <w:bCs/>
                <w:sz w:val="13"/>
                <w:szCs w:val="13"/>
                <w:lang w:eastAsia="es-MX"/>
              </w:rPr>
            </w:pPr>
            <w:r w:rsidRPr="007D1689">
              <w:rPr>
                <w:b/>
                <w:bCs/>
                <w:sz w:val="13"/>
                <w:szCs w:val="13"/>
                <w:lang w:eastAsia="es-MX"/>
              </w:rPr>
              <w:t>Enero</w:t>
            </w:r>
          </w:p>
        </w:tc>
        <w:tc>
          <w:tcPr>
            <w:tcW w:w="1125" w:type="dxa"/>
            <w:tcBorders>
              <w:top w:val="nil"/>
              <w:left w:val="nil"/>
              <w:bottom w:val="single" w:sz="4" w:space="0" w:color="auto"/>
              <w:right w:val="single" w:sz="4" w:space="0" w:color="auto"/>
            </w:tcBorders>
            <w:shd w:val="clear" w:color="auto" w:fill="auto"/>
            <w:noWrap/>
            <w:vAlign w:val="center"/>
          </w:tcPr>
          <w:p w14:paraId="2DC941CE" w14:textId="77777777" w:rsidR="00896338" w:rsidRPr="007D1689" w:rsidRDefault="00896338" w:rsidP="001271F2">
            <w:pPr>
              <w:pStyle w:val="Texto"/>
              <w:spacing w:before="40" w:after="40" w:line="224" w:lineRule="exact"/>
              <w:ind w:firstLine="0"/>
              <w:jc w:val="center"/>
              <w:rPr>
                <w:b/>
                <w:bCs/>
                <w:sz w:val="13"/>
                <w:szCs w:val="13"/>
                <w:lang w:eastAsia="es-MX"/>
              </w:rPr>
            </w:pPr>
            <w:r w:rsidRPr="007D1689">
              <w:rPr>
                <w:b/>
                <w:bCs/>
                <w:sz w:val="13"/>
                <w:szCs w:val="13"/>
                <w:lang w:eastAsia="es-MX"/>
              </w:rPr>
              <w:t>Febrero</w:t>
            </w:r>
          </w:p>
        </w:tc>
        <w:tc>
          <w:tcPr>
            <w:tcW w:w="1147" w:type="dxa"/>
            <w:tcBorders>
              <w:top w:val="nil"/>
              <w:left w:val="nil"/>
              <w:bottom w:val="single" w:sz="4" w:space="0" w:color="auto"/>
              <w:right w:val="single" w:sz="4" w:space="0" w:color="auto"/>
            </w:tcBorders>
            <w:shd w:val="clear" w:color="auto" w:fill="auto"/>
            <w:noWrap/>
            <w:vAlign w:val="center"/>
          </w:tcPr>
          <w:p w14:paraId="1CEE4C29" w14:textId="77777777" w:rsidR="00896338" w:rsidRPr="007D1689" w:rsidRDefault="00896338" w:rsidP="001271F2">
            <w:pPr>
              <w:pStyle w:val="Texto"/>
              <w:spacing w:before="40" w:after="40" w:line="224" w:lineRule="exact"/>
              <w:ind w:firstLine="0"/>
              <w:jc w:val="center"/>
              <w:rPr>
                <w:b/>
                <w:bCs/>
                <w:sz w:val="13"/>
                <w:szCs w:val="13"/>
                <w:lang w:eastAsia="es-MX"/>
              </w:rPr>
            </w:pPr>
            <w:r w:rsidRPr="007D1689">
              <w:rPr>
                <w:b/>
                <w:bCs/>
                <w:sz w:val="13"/>
                <w:szCs w:val="13"/>
                <w:lang w:eastAsia="es-MX"/>
              </w:rPr>
              <w:t>Marzo</w:t>
            </w:r>
          </w:p>
        </w:tc>
        <w:tc>
          <w:tcPr>
            <w:tcW w:w="1117" w:type="dxa"/>
            <w:tcBorders>
              <w:top w:val="nil"/>
              <w:left w:val="nil"/>
              <w:bottom w:val="single" w:sz="4" w:space="0" w:color="auto"/>
              <w:right w:val="single" w:sz="4" w:space="0" w:color="auto"/>
            </w:tcBorders>
            <w:shd w:val="clear" w:color="auto" w:fill="auto"/>
            <w:noWrap/>
            <w:vAlign w:val="center"/>
          </w:tcPr>
          <w:p w14:paraId="7CEC8FF1" w14:textId="77777777" w:rsidR="00896338" w:rsidRPr="007D1689" w:rsidRDefault="00896338" w:rsidP="001271F2">
            <w:pPr>
              <w:pStyle w:val="Texto"/>
              <w:spacing w:before="40" w:after="40" w:line="224" w:lineRule="exact"/>
              <w:ind w:firstLine="0"/>
              <w:jc w:val="center"/>
              <w:rPr>
                <w:b/>
                <w:bCs/>
                <w:sz w:val="13"/>
                <w:szCs w:val="13"/>
                <w:lang w:eastAsia="es-MX"/>
              </w:rPr>
            </w:pPr>
            <w:r w:rsidRPr="007D1689">
              <w:rPr>
                <w:b/>
                <w:bCs/>
                <w:sz w:val="13"/>
                <w:szCs w:val="13"/>
                <w:lang w:eastAsia="es-MX"/>
              </w:rPr>
              <w:t>Abril</w:t>
            </w:r>
          </w:p>
        </w:tc>
        <w:tc>
          <w:tcPr>
            <w:tcW w:w="1087" w:type="dxa"/>
            <w:tcBorders>
              <w:top w:val="nil"/>
              <w:left w:val="nil"/>
              <w:bottom w:val="single" w:sz="4" w:space="0" w:color="auto"/>
              <w:right w:val="single" w:sz="4" w:space="0" w:color="auto"/>
            </w:tcBorders>
            <w:shd w:val="clear" w:color="auto" w:fill="auto"/>
            <w:noWrap/>
            <w:vAlign w:val="center"/>
          </w:tcPr>
          <w:p w14:paraId="1A5B0298" w14:textId="77777777" w:rsidR="00896338" w:rsidRPr="007D1689" w:rsidRDefault="00896338" w:rsidP="001271F2">
            <w:pPr>
              <w:pStyle w:val="Texto"/>
              <w:spacing w:before="40" w:after="40" w:line="224" w:lineRule="exact"/>
              <w:ind w:firstLine="0"/>
              <w:jc w:val="center"/>
              <w:rPr>
                <w:b/>
                <w:bCs/>
                <w:sz w:val="13"/>
                <w:szCs w:val="13"/>
                <w:lang w:eastAsia="es-MX"/>
              </w:rPr>
            </w:pPr>
            <w:r w:rsidRPr="007D1689">
              <w:rPr>
                <w:b/>
                <w:bCs/>
                <w:sz w:val="13"/>
                <w:szCs w:val="13"/>
                <w:lang w:eastAsia="es-MX"/>
              </w:rPr>
              <w:t>Mayo</w:t>
            </w:r>
          </w:p>
        </w:tc>
        <w:tc>
          <w:tcPr>
            <w:tcW w:w="1104" w:type="dxa"/>
            <w:tcBorders>
              <w:top w:val="nil"/>
              <w:left w:val="nil"/>
              <w:bottom w:val="single" w:sz="4" w:space="0" w:color="auto"/>
              <w:right w:val="single" w:sz="4" w:space="0" w:color="auto"/>
            </w:tcBorders>
            <w:shd w:val="clear" w:color="auto" w:fill="auto"/>
            <w:noWrap/>
            <w:vAlign w:val="center"/>
          </w:tcPr>
          <w:p w14:paraId="307F4661" w14:textId="77777777" w:rsidR="00896338" w:rsidRPr="007D1689" w:rsidRDefault="00896338" w:rsidP="001271F2">
            <w:pPr>
              <w:pStyle w:val="Texto"/>
              <w:spacing w:before="40" w:after="40" w:line="224" w:lineRule="exact"/>
              <w:ind w:firstLine="0"/>
              <w:jc w:val="center"/>
              <w:rPr>
                <w:b/>
                <w:bCs/>
                <w:sz w:val="13"/>
                <w:szCs w:val="13"/>
                <w:lang w:eastAsia="es-MX"/>
              </w:rPr>
            </w:pPr>
            <w:r w:rsidRPr="007D1689">
              <w:rPr>
                <w:b/>
                <w:bCs/>
                <w:sz w:val="13"/>
                <w:szCs w:val="13"/>
                <w:lang w:eastAsia="es-MX"/>
              </w:rPr>
              <w:t>Junio</w:t>
            </w:r>
          </w:p>
        </w:tc>
      </w:tr>
      <w:tr w:rsidR="00896338" w:rsidRPr="00054A7A" w14:paraId="407BCACF" w14:textId="77777777">
        <w:trPr>
          <w:trHeight w:val="20"/>
          <w:jc w:val="center"/>
        </w:trPr>
        <w:tc>
          <w:tcPr>
            <w:tcW w:w="4107" w:type="dxa"/>
            <w:tcBorders>
              <w:top w:val="nil"/>
              <w:left w:val="single" w:sz="4" w:space="0" w:color="auto"/>
              <w:bottom w:val="single" w:sz="4" w:space="0" w:color="auto"/>
              <w:right w:val="single" w:sz="4" w:space="0" w:color="auto"/>
            </w:tcBorders>
            <w:shd w:val="clear" w:color="auto" w:fill="auto"/>
            <w:vAlign w:val="center"/>
          </w:tcPr>
          <w:p w14:paraId="4753F4D4" w14:textId="77777777" w:rsidR="00896338" w:rsidRPr="007D1689" w:rsidRDefault="00896338" w:rsidP="001271F2">
            <w:pPr>
              <w:pStyle w:val="Texto"/>
              <w:spacing w:before="40" w:after="40" w:line="224" w:lineRule="exact"/>
              <w:ind w:firstLine="0"/>
              <w:rPr>
                <w:b/>
                <w:bCs/>
                <w:sz w:val="13"/>
                <w:szCs w:val="13"/>
                <w:lang w:eastAsia="es-MX"/>
              </w:rPr>
            </w:pPr>
            <w:r w:rsidRPr="007D1689">
              <w:rPr>
                <w:b/>
                <w:bCs/>
                <w:sz w:val="13"/>
                <w:szCs w:val="13"/>
                <w:lang w:eastAsia="es-MX"/>
              </w:rPr>
              <w:t>Total</w:t>
            </w:r>
          </w:p>
        </w:tc>
        <w:tc>
          <w:tcPr>
            <w:tcW w:w="1094" w:type="dxa"/>
            <w:tcBorders>
              <w:top w:val="nil"/>
              <w:left w:val="nil"/>
              <w:bottom w:val="single" w:sz="4" w:space="0" w:color="auto"/>
              <w:right w:val="single" w:sz="4" w:space="0" w:color="auto"/>
            </w:tcBorders>
            <w:shd w:val="clear" w:color="auto" w:fill="auto"/>
            <w:noWrap/>
          </w:tcPr>
          <w:p w14:paraId="7AE442ED"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507,371.6</w:t>
            </w:r>
          </w:p>
        </w:tc>
        <w:tc>
          <w:tcPr>
            <w:tcW w:w="1125" w:type="dxa"/>
            <w:tcBorders>
              <w:top w:val="nil"/>
              <w:left w:val="nil"/>
              <w:bottom w:val="single" w:sz="4" w:space="0" w:color="auto"/>
              <w:right w:val="single" w:sz="4" w:space="0" w:color="auto"/>
            </w:tcBorders>
            <w:shd w:val="clear" w:color="auto" w:fill="auto"/>
            <w:noWrap/>
          </w:tcPr>
          <w:p w14:paraId="21E87D1A"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431,977.0</w:t>
            </w:r>
          </w:p>
        </w:tc>
        <w:tc>
          <w:tcPr>
            <w:tcW w:w="1147" w:type="dxa"/>
            <w:tcBorders>
              <w:top w:val="nil"/>
              <w:left w:val="nil"/>
              <w:bottom w:val="single" w:sz="4" w:space="0" w:color="auto"/>
              <w:right w:val="single" w:sz="4" w:space="0" w:color="auto"/>
            </w:tcBorders>
            <w:shd w:val="clear" w:color="auto" w:fill="auto"/>
            <w:noWrap/>
          </w:tcPr>
          <w:p w14:paraId="6F1423C9"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541,880.9</w:t>
            </w:r>
          </w:p>
        </w:tc>
        <w:tc>
          <w:tcPr>
            <w:tcW w:w="1117" w:type="dxa"/>
            <w:tcBorders>
              <w:top w:val="nil"/>
              <w:left w:val="nil"/>
              <w:bottom w:val="single" w:sz="4" w:space="0" w:color="auto"/>
              <w:right w:val="single" w:sz="4" w:space="0" w:color="auto"/>
            </w:tcBorders>
            <w:shd w:val="clear" w:color="auto" w:fill="auto"/>
            <w:noWrap/>
          </w:tcPr>
          <w:p w14:paraId="72ADD1F3"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463,196.7</w:t>
            </w:r>
          </w:p>
        </w:tc>
        <w:tc>
          <w:tcPr>
            <w:tcW w:w="1087" w:type="dxa"/>
            <w:tcBorders>
              <w:top w:val="nil"/>
              <w:left w:val="nil"/>
              <w:bottom w:val="single" w:sz="4" w:space="0" w:color="auto"/>
              <w:right w:val="single" w:sz="4" w:space="0" w:color="auto"/>
            </w:tcBorders>
            <w:shd w:val="clear" w:color="auto" w:fill="auto"/>
            <w:noWrap/>
          </w:tcPr>
          <w:p w14:paraId="115C41E7"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430,059.1</w:t>
            </w:r>
          </w:p>
        </w:tc>
        <w:tc>
          <w:tcPr>
            <w:tcW w:w="1104" w:type="dxa"/>
            <w:tcBorders>
              <w:top w:val="nil"/>
              <w:left w:val="nil"/>
              <w:bottom w:val="single" w:sz="4" w:space="0" w:color="auto"/>
              <w:right w:val="single" w:sz="4" w:space="0" w:color="auto"/>
            </w:tcBorders>
            <w:shd w:val="clear" w:color="auto" w:fill="auto"/>
            <w:noWrap/>
          </w:tcPr>
          <w:p w14:paraId="1B5900AE"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458,438.2</w:t>
            </w:r>
          </w:p>
        </w:tc>
      </w:tr>
      <w:tr w:rsidR="00896338" w:rsidRPr="00054A7A" w14:paraId="0AAC9812" w14:textId="77777777">
        <w:trPr>
          <w:trHeight w:val="20"/>
          <w:jc w:val="center"/>
        </w:trPr>
        <w:tc>
          <w:tcPr>
            <w:tcW w:w="4107" w:type="dxa"/>
            <w:tcBorders>
              <w:top w:val="nil"/>
              <w:left w:val="single" w:sz="4" w:space="0" w:color="auto"/>
              <w:bottom w:val="single" w:sz="4" w:space="0" w:color="auto"/>
              <w:right w:val="single" w:sz="4" w:space="0" w:color="auto"/>
            </w:tcBorders>
            <w:shd w:val="clear" w:color="auto" w:fill="auto"/>
            <w:vAlign w:val="center"/>
          </w:tcPr>
          <w:p w14:paraId="6820387F" w14:textId="77777777" w:rsidR="00896338" w:rsidRPr="007D1689" w:rsidRDefault="00896338" w:rsidP="001271F2">
            <w:pPr>
              <w:pStyle w:val="Texto"/>
              <w:spacing w:before="40" w:after="40" w:line="224" w:lineRule="exact"/>
              <w:ind w:left="144" w:firstLine="0"/>
              <w:rPr>
                <w:b/>
                <w:bCs/>
                <w:sz w:val="13"/>
                <w:szCs w:val="13"/>
                <w:lang w:eastAsia="es-MX"/>
              </w:rPr>
            </w:pPr>
            <w:r w:rsidRPr="007D1689">
              <w:rPr>
                <w:b/>
                <w:bCs/>
                <w:sz w:val="13"/>
                <w:szCs w:val="13"/>
                <w:lang w:eastAsia="es-MX"/>
              </w:rPr>
              <w:t>Ingresos del Gobierno Federal</w:t>
            </w:r>
          </w:p>
        </w:tc>
        <w:tc>
          <w:tcPr>
            <w:tcW w:w="1094" w:type="dxa"/>
            <w:tcBorders>
              <w:top w:val="nil"/>
              <w:left w:val="nil"/>
              <w:bottom w:val="single" w:sz="4" w:space="0" w:color="auto"/>
              <w:right w:val="single" w:sz="4" w:space="0" w:color="auto"/>
            </w:tcBorders>
            <w:shd w:val="clear" w:color="auto" w:fill="auto"/>
            <w:noWrap/>
          </w:tcPr>
          <w:p w14:paraId="37243D0C"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382,130.7</w:t>
            </w:r>
          </w:p>
        </w:tc>
        <w:tc>
          <w:tcPr>
            <w:tcW w:w="1125" w:type="dxa"/>
            <w:tcBorders>
              <w:top w:val="nil"/>
              <w:left w:val="nil"/>
              <w:bottom w:val="single" w:sz="4" w:space="0" w:color="auto"/>
              <w:right w:val="single" w:sz="4" w:space="0" w:color="auto"/>
            </w:tcBorders>
            <w:shd w:val="clear" w:color="auto" w:fill="auto"/>
            <w:noWrap/>
          </w:tcPr>
          <w:p w14:paraId="0446D832"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316,279.7</w:t>
            </w:r>
          </w:p>
        </w:tc>
        <w:tc>
          <w:tcPr>
            <w:tcW w:w="1147" w:type="dxa"/>
            <w:tcBorders>
              <w:top w:val="nil"/>
              <w:left w:val="nil"/>
              <w:bottom w:val="single" w:sz="4" w:space="0" w:color="auto"/>
              <w:right w:val="single" w:sz="4" w:space="0" w:color="auto"/>
            </w:tcBorders>
            <w:shd w:val="clear" w:color="auto" w:fill="auto"/>
            <w:noWrap/>
          </w:tcPr>
          <w:p w14:paraId="2CE099AE"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418,581.4</w:t>
            </w:r>
          </w:p>
        </w:tc>
        <w:tc>
          <w:tcPr>
            <w:tcW w:w="1117" w:type="dxa"/>
            <w:tcBorders>
              <w:top w:val="nil"/>
              <w:left w:val="nil"/>
              <w:bottom w:val="single" w:sz="4" w:space="0" w:color="auto"/>
              <w:right w:val="single" w:sz="4" w:space="0" w:color="auto"/>
            </w:tcBorders>
            <w:shd w:val="clear" w:color="auto" w:fill="auto"/>
            <w:noWrap/>
          </w:tcPr>
          <w:p w14:paraId="3F7485CC"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340,162.7</w:t>
            </w:r>
          </w:p>
        </w:tc>
        <w:tc>
          <w:tcPr>
            <w:tcW w:w="1087" w:type="dxa"/>
            <w:tcBorders>
              <w:top w:val="nil"/>
              <w:left w:val="nil"/>
              <w:bottom w:val="single" w:sz="4" w:space="0" w:color="auto"/>
              <w:right w:val="single" w:sz="4" w:space="0" w:color="auto"/>
            </w:tcBorders>
            <w:shd w:val="clear" w:color="auto" w:fill="auto"/>
            <w:noWrap/>
          </w:tcPr>
          <w:p w14:paraId="743DB7ED"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309,681.7</w:t>
            </w:r>
          </w:p>
        </w:tc>
        <w:tc>
          <w:tcPr>
            <w:tcW w:w="1104" w:type="dxa"/>
            <w:tcBorders>
              <w:top w:val="nil"/>
              <w:left w:val="nil"/>
              <w:bottom w:val="single" w:sz="4" w:space="0" w:color="auto"/>
              <w:right w:val="single" w:sz="4" w:space="0" w:color="auto"/>
            </w:tcBorders>
            <w:shd w:val="clear" w:color="auto" w:fill="auto"/>
            <w:noWrap/>
          </w:tcPr>
          <w:p w14:paraId="7EC5F09C"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340,552.3</w:t>
            </w:r>
          </w:p>
        </w:tc>
      </w:tr>
      <w:tr w:rsidR="00896338" w:rsidRPr="00054A7A" w14:paraId="3481E263" w14:textId="77777777">
        <w:trPr>
          <w:trHeight w:val="20"/>
          <w:jc w:val="center"/>
        </w:trPr>
        <w:tc>
          <w:tcPr>
            <w:tcW w:w="4107" w:type="dxa"/>
            <w:tcBorders>
              <w:top w:val="nil"/>
              <w:left w:val="single" w:sz="4" w:space="0" w:color="auto"/>
              <w:bottom w:val="single" w:sz="4" w:space="0" w:color="auto"/>
              <w:right w:val="single" w:sz="4" w:space="0" w:color="auto"/>
            </w:tcBorders>
            <w:shd w:val="clear" w:color="auto" w:fill="auto"/>
            <w:vAlign w:val="center"/>
          </w:tcPr>
          <w:p w14:paraId="1A52A6B6" w14:textId="77777777" w:rsidR="00896338" w:rsidRPr="007D1689" w:rsidRDefault="00896338" w:rsidP="001271F2">
            <w:pPr>
              <w:pStyle w:val="Texto"/>
              <w:spacing w:before="40" w:after="40" w:line="224" w:lineRule="exact"/>
              <w:ind w:left="288" w:firstLine="0"/>
              <w:rPr>
                <w:b/>
                <w:bCs/>
                <w:sz w:val="13"/>
                <w:szCs w:val="13"/>
                <w:lang w:eastAsia="es-MX"/>
              </w:rPr>
            </w:pPr>
            <w:r w:rsidRPr="007D1689">
              <w:rPr>
                <w:b/>
                <w:bCs/>
                <w:sz w:val="13"/>
                <w:szCs w:val="13"/>
                <w:lang w:eastAsia="es-MX"/>
              </w:rPr>
              <w:t>Impuestos</w:t>
            </w:r>
          </w:p>
        </w:tc>
        <w:tc>
          <w:tcPr>
            <w:tcW w:w="1094" w:type="dxa"/>
            <w:tcBorders>
              <w:top w:val="nil"/>
              <w:left w:val="nil"/>
              <w:bottom w:val="single" w:sz="4" w:space="0" w:color="auto"/>
              <w:right w:val="single" w:sz="4" w:space="0" w:color="auto"/>
            </w:tcBorders>
            <w:shd w:val="clear" w:color="auto" w:fill="auto"/>
            <w:noWrap/>
          </w:tcPr>
          <w:p w14:paraId="6FD2421F"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353,649.7</w:t>
            </w:r>
          </w:p>
        </w:tc>
        <w:tc>
          <w:tcPr>
            <w:tcW w:w="1125" w:type="dxa"/>
            <w:tcBorders>
              <w:top w:val="nil"/>
              <w:left w:val="nil"/>
              <w:bottom w:val="single" w:sz="4" w:space="0" w:color="auto"/>
              <w:right w:val="single" w:sz="4" w:space="0" w:color="auto"/>
            </w:tcBorders>
            <w:shd w:val="clear" w:color="auto" w:fill="auto"/>
            <w:noWrap/>
          </w:tcPr>
          <w:p w14:paraId="703F8D54"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281,666.3</w:t>
            </w:r>
          </w:p>
        </w:tc>
        <w:tc>
          <w:tcPr>
            <w:tcW w:w="1147" w:type="dxa"/>
            <w:tcBorders>
              <w:top w:val="nil"/>
              <w:left w:val="nil"/>
              <w:bottom w:val="single" w:sz="4" w:space="0" w:color="auto"/>
              <w:right w:val="single" w:sz="4" w:space="0" w:color="auto"/>
            </w:tcBorders>
            <w:shd w:val="clear" w:color="auto" w:fill="auto"/>
            <w:noWrap/>
          </w:tcPr>
          <w:p w14:paraId="511DC946"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360,532.5</w:t>
            </w:r>
          </w:p>
        </w:tc>
        <w:tc>
          <w:tcPr>
            <w:tcW w:w="1117" w:type="dxa"/>
            <w:tcBorders>
              <w:top w:val="nil"/>
              <w:left w:val="nil"/>
              <w:bottom w:val="single" w:sz="4" w:space="0" w:color="auto"/>
              <w:right w:val="single" w:sz="4" w:space="0" w:color="auto"/>
            </w:tcBorders>
            <w:shd w:val="clear" w:color="auto" w:fill="auto"/>
            <w:noWrap/>
          </w:tcPr>
          <w:p w14:paraId="7EBF62B6"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297,566.3</w:t>
            </w:r>
          </w:p>
        </w:tc>
        <w:tc>
          <w:tcPr>
            <w:tcW w:w="1087" w:type="dxa"/>
            <w:tcBorders>
              <w:top w:val="nil"/>
              <w:left w:val="nil"/>
              <w:bottom w:val="single" w:sz="4" w:space="0" w:color="auto"/>
              <w:right w:val="single" w:sz="4" w:space="0" w:color="auto"/>
            </w:tcBorders>
            <w:shd w:val="clear" w:color="auto" w:fill="auto"/>
            <w:noWrap/>
          </w:tcPr>
          <w:p w14:paraId="0F3AC99F"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266,619.7</w:t>
            </w:r>
          </w:p>
        </w:tc>
        <w:tc>
          <w:tcPr>
            <w:tcW w:w="1104" w:type="dxa"/>
            <w:tcBorders>
              <w:top w:val="nil"/>
              <w:left w:val="nil"/>
              <w:bottom w:val="single" w:sz="4" w:space="0" w:color="auto"/>
              <w:right w:val="single" w:sz="4" w:space="0" w:color="auto"/>
            </w:tcBorders>
            <w:shd w:val="clear" w:color="auto" w:fill="auto"/>
            <w:noWrap/>
          </w:tcPr>
          <w:p w14:paraId="5D5582A5"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291,109.2</w:t>
            </w:r>
          </w:p>
        </w:tc>
      </w:tr>
      <w:tr w:rsidR="00896338" w:rsidRPr="00054A7A" w14:paraId="67A0C99B" w14:textId="77777777">
        <w:trPr>
          <w:trHeight w:val="20"/>
          <w:jc w:val="center"/>
        </w:trPr>
        <w:tc>
          <w:tcPr>
            <w:tcW w:w="4107" w:type="dxa"/>
            <w:tcBorders>
              <w:top w:val="nil"/>
              <w:left w:val="single" w:sz="4" w:space="0" w:color="auto"/>
              <w:bottom w:val="single" w:sz="4" w:space="0" w:color="auto"/>
              <w:right w:val="single" w:sz="4" w:space="0" w:color="auto"/>
            </w:tcBorders>
            <w:shd w:val="clear" w:color="auto" w:fill="auto"/>
            <w:vAlign w:val="center"/>
          </w:tcPr>
          <w:p w14:paraId="75D6BFC3" w14:textId="77777777" w:rsidR="00896338" w:rsidRPr="007D1689" w:rsidRDefault="00896338" w:rsidP="001271F2">
            <w:pPr>
              <w:pStyle w:val="Texto"/>
              <w:spacing w:before="40" w:after="40" w:line="224" w:lineRule="exact"/>
              <w:ind w:left="432" w:firstLine="0"/>
              <w:rPr>
                <w:sz w:val="13"/>
                <w:szCs w:val="13"/>
                <w:lang w:eastAsia="es-MX"/>
              </w:rPr>
            </w:pPr>
            <w:r w:rsidRPr="007D1689">
              <w:rPr>
                <w:sz w:val="13"/>
                <w:szCs w:val="13"/>
                <w:lang w:eastAsia="es-MX"/>
              </w:rPr>
              <w:t xml:space="preserve">Impuesto sobre la renta </w:t>
            </w:r>
          </w:p>
        </w:tc>
        <w:tc>
          <w:tcPr>
            <w:tcW w:w="1094" w:type="dxa"/>
            <w:tcBorders>
              <w:top w:val="nil"/>
              <w:left w:val="nil"/>
              <w:bottom w:val="single" w:sz="4" w:space="0" w:color="auto"/>
              <w:right w:val="single" w:sz="4" w:space="0" w:color="auto"/>
            </w:tcBorders>
            <w:shd w:val="clear" w:color="auto" w:fill="auto"/>
            <w:noWrap/>
          </w:tcPr>
          <w:p w14:paraId="4A8786D6"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192,276.1</w:t>
            </w:r>
          </w:p>
        </w:tc>
        <w:tc>
          <w:tcPr>
            <w:tcW w:w="1125" w:type="dxa"/>
            <w:tcBorders>
              <w:top w:val="nil"/>
              <w:left w:val="nil"/>
              <w:bottom w:val="single" w:sz="4" w:space="0" w:color="auto"/>
              <w:right w:val="single" w:sz="4" w:space="0" w:color="auto"/>
            </w:tcBorders>
            <w:shd w:val="clear" w:color="auto" w:fill="auto"/>
            <w:noWrap/>
          </w:tcPr>
          <w:p w14:paraId="4C4CA844"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146,239.3</w:t>
            </w:r>
          </w:p>
        </w:tc>
        <w:tc>
          <w:tcPr>
            <w:tcW w:w="1147" w:type="dxa"/>
            <w:tcBorders>
              <w:top w:val="nil"/>
              <w:left w:val="nil"/>
              <w:bottom w:val="single" w:sz="4" w:space="0" w:color="auto"/>
              <w:right w:val="single" w:sz="4" w:space="0" w:color="auto"/>
            </w:tcBorders>
            <w:shd w:val="clear" w:color="auto" w:fill="auto"/>
            <w:noWrap/>
          </w:tcPr>
          <w:p w14:paraId="33E02174"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234,515.9</w:t>
            </w:r>
          </w:p>
        </w:tc>
        <w:tc>
          <w:tcPr>
            <w:tcW w:w="1117" w:type="dxa"/>
            <w:tcBorders>
              <w:top w:val="nil"/>
              <w:left w:val="nil"/>
              <w:bottom w:val="single" w:sz="4" w:space="0" w:color="auto"/>
              <w:right w:val="single" w:sz="4" w:space="0" w:color="auto"/>
            </w:tcBorders>
            <w:shd w:val="clear" w:color="auto" w:fill="auto"/>
            <w:noWrap/>
          </w:tcPr>
          <w:p w14:paraId="3870366F"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174,387.8</w:t>
            </w:r>
          </w:p>
        </w:tc>
        <w:tc>
          <w:tcPr>
            <w:tcW w:w="1087" w:type="dxa"/>
            <w:tcBorders>
              <w:top w:val="nil"/>
              <w:left w:val="nil"/>
              <w:bottom w:val="single" w:sz="4" w:space="0" w:color="auto"/>
              <w:right w:val="single" w:sz="4" w:space="0" w:color="auto"/>
            </w:tcBorders>
            <w:shd w:val="clear" w:color="auto" w:fill="auto"/>
            <w:noWrap/>
          </w:tcPr>
          <w:p w14:paraId="43E50B41"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136,286.4</w:t>
            </w:r>
          </w:p>
        </w:tc>
        <w:tc>
          <w:tcPr>
            <w:tcW w:w="1104" w:type="dxa"/>
            <w:tcBorders>
              <w:top w:val="nil"/>
              <w:left w:val="nil"/>
              <w:bottom w:val="single" w:sz="4" w:space="0" w:color="auto"/>
              <w:right w:val="single" w:sz="4" w:space="0" w:color="auto"/>
            </w:tcBorders>
            <w:shd w:val="clear" w:color="auto" w:fill="auto"/>
            <w:noWrap/>
          </w:tcPr>
          <w:p w14:paraId="44ED88AA"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158,196.4</w:t>
            </w:r>
          </w:p>
        </w:tc>
      </w:tr>
      <w:tr w:rsidR="00896338" w:rsidRPr="00054A7A" w14:paraId="4376B3D7" w14:textId="77777777">
        <w:trPr>
          <w:trHeight w:val="20"/>
          <w:jc w:val="center"/>
        </w:trPr>
        <w:tc>
          <w:tcPr>
            <w:tcW w:w="4107" w:type="dxa"/>
            <w:tcBorders>
              <w:top w:val="nil"/>
              <w:left w:val="single" w:sz="4" w:space="0" w:color="auto"/>
              <w:bottom w:val="single" w:sz="4" w:space="0" w:color="auto"/>
              <w:right w:val="single" w:sz="4" w:space="0" w:color="auto"/>
            </w:tcBorders>
            <w:shd w:val="clear" w:color="auto" w:fill="auto"/>
            <w:vAlign w:val="center"/>
          </w:tcPr>
          <w:p w14:paraId="1E633613" w14:textId="77777777" w:rsidR="00896338" w:rsidRPr="007D1689" w:rsidRDefault="00896338" w:rsidP="001271F2">
            <w:pPr>
              <w:pStyle w:val="Texto"/>
              <w:spacing w:before="40" w:after="40" w:line="224" w:lineRule="exact"/>
              <w:ind w:left="432" w:firstLine="0"/>
              <w:rPr>
                <w:sz w:val="13"/>
                <w:szCs w:val="13"/>
                <w:lang w:eastAsia="es-MX"/>
              </w:rPr>
            </w:pPr>
            <w:r w:rsidRPr="007D1689">
              <w:rPr>
                <w:sz w:val="13"/>
                <w:szCs w:val="13"/>
                <w:lang w:eastAsia="es-MX"/>
              </w:rPr>
              <w:t>Impuesto al valor agregado</w:t>
            </w:r>
          </w:p>
        </w:tc>
        <w:tc>
          <w:tcPr>
            <w:tcW w:w="1094" w:type="dxa"/>
            <w:tcBorders>
              <w:top w:val="nil"/>
              <w:left w:val="nil"/>
              <w:bottom w:val="single" w:sz="4" w:space="0" w:color="auto"/>
              <w:right w:val="single" w:sz="4" w:space="0" w:color="auto"/>
            </w:tcBorders>
            <w:shd w:val="clear" w:color="auto" w:fill="auto"/>
            <w:noWrap/>
          </w:tcPr>
          <w:p w14:paraId="5F1E268E"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105,792.7</w:t>
            </w:r>
          </w:p>
        </w:tc>
        <w:tc>
          <w:tcPr>
            <w:tcW w:w="1125" w:type="dxa"/>
            <w:tcBorders>
              <w:top w:val="nil"/>
              <w:left w:val="nil"/>
              <w:bottom w:val="single" w:sz="4" w:space="0" w:color="auto"/>
              <w:right w:val="single" w:sz="4" w:space="0" w:color="auto"/>
            </w:tcBorders>
            <w:shd w:val="clear" w:color="auto" w:fill="auto"/>
            <w:noWrap/>
          </w:tcPr>
          <w:p w14:paraId="22BA0382"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82,295.4</w:t>
            </w:r>
          </w:p>
        </w:tc>
        <w:tc>
          <w:tcPr>
            <w:tcW w:w="1147" w:type="dxa"/>
            <w:tcBorders>
              <w:top w:val="nil"/>
              <w:left w:val="nil"/>
              <w:bottom w:val="single" w:sz="4" w:space="0" w:color="auto"/>
              <w:right w:val="single" w:sz="4" w:space="0" w:color="auto"/>
            </w:tcBorders>
            <w:shd w:val="clear" w:color="auto" w:fill="auto"/>
            <w:noWrap/>
          </w:tcPr>
          <w:p w14:paraId="5525579C"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78,663.4</w:t>
            </w:r>
          </w:p>
        </w:tc>
        <w:tc>
          <w:tcPr>
            <w:tcW w:w="1117" w:type="dxa"/>
            <w:tcBorders>
              <w:top w:val="nil"/>
              <w:left w:val="nil"/>
              <w:bottom w:val="single" w:sz="4" w:space="0" w:color="auto"/>
              <w:right w:val="single" w:sz="4" w:space="0" w:color="auto"/>
            </w:tcBorders>
            <w:shd w:val="clear" w:color="auto" w:fill="auto"/>
            <w:noWrap/>
          </w:tcPr>
          <w:p w14:paraId="149EDD28"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73,513.1</w:t>
            </w:r>
          </w:p>
        </w:tc>
        <w:tc>
          <w:tcPr>
            <w:tcW w:w="1087" w:type="dxa"/>
            <w:tcBorders>
              <w:top w:val="nil"/>
              <w:left w:val="nil"/>
              <w:bottom w:val="single" w:sz="4" w:space="0" w:color="auto"/>
              <w:right w:val="single" w:sz="4" w:space="0" w:color="auto"/>
            </w:tcBorders>
            <w:shd w:val="clear" w:color="auto" w:fill="auto"/>
            <w:noWrap/>
          </w:tcPr>
          <w:p w14:paraId="2D970712"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75,627.0</w:t>
            </w:r>
          </w:p>
        </w:tc>
        <w:tc>
          <w:tcPr>
            <w:tcW w:w="1104" w:type="dxa"/>
            <w:tcBorders>
              <w:top w:val="nil"/>
              <w:left w:val="nil"/>
              <w:bottom w:val="single" w:sz="4" w:space="0" w:color="auto"/>
              <w:right w:val="single" w:sz="4" w:space="0" w:color="auto"/>
            </w:tcBorders>
            <w:shd w:val="clear" w:color="auto" w:fill="auto"/>
            <w:noWrap/>
          </w:tcPr>
          <w:p w14:paraId="15F71894"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76,316.7</w:t>
            </w:r>
          </w:p>
        </w:tc>
      </w:tr>
      <w:tr w:rsidR="00896338" w:rsidRPr="00054A7A" w14:paraId="7E4E1EA4" w14:textId="77777777">
        <w:trPr>
          <w:trHeight w:val="20"/>
          <w:jc w:val="center"/>
        </w:trPr>
        <w:tc>
          <w:tcPr>
            <w:tcW w:w="4107" w:type="dxa"/>
            <w:tcBorders>
              <w:top w:val="single" w:sz="4" w:space="0" w:color="auto"/>
              <w:left w:val="single" w:sz="4" w:space="0" w:color="auto"/>
              <w:bottom w:val="single" w:sz="4" w:space="0" w:color="auto"/>
              <w:right w:val="single" w:sz="4" w:space="0" w:color="auto"/>
            </w:tcBorders>
            <w:shd w:val="clear" w:color="auto" w:fill="auto"/>
            <w:vAlign w:val="center"/>
          </w:tcPr>
          <w:p w14:paraId="3BDE2349" w14:textId="77777777" w:rsidR="00896338" w:rsidRPr="007D1689" w:rsidRDefault="00896338" w:rsidP="001271F2">
            <w:pPr>
              <w:pStyle w:val="Texto"/>
              <w:spacing w:before="40" w:after="40" w:line="224" w:lineRule="exact"/>
              <w:ind w:left="432" w:firstLine="0"/>
              <w:rPr>
                <w:sz w:val="13"/>
                <w:szCs w:val="13"/>
                <w:lang w:eastAsia="es-MX"/>
              </w:rPr>
            </w:pPr>
            <w:r w:rsidRPr="007D1689">
              <w:rPr>
                <w:sz w:val="13"/>
                <w:szCs w:val="13"/>
                <w:lang w:eastAsia="es-MX"/>
              </w:rPr>
              <w:t>Impuesto especial sobre producción y servicios</w:t>
            </w:r>
          </w:p>
        </w:tc>
        <w:tc>
          <w:tcPr>
            <w:tcW w:w="1094" w:type="dxa"/>
            <w:tcBorders>
              <w:top w:val="single" w:sz="4" w:space="0" w:color="auto"/>
              <w:left w:val="nil"/>
              <w:bottom w:val="single" w:sz="4" w:space="0" w:color="auto"/>
              <w:right w:val="single" w:sz="4" w:space="0" w:color="auto"/>
            </w:tcBorders>
            <w:shd w:val="clear" w:color="auto" w:fill="auto"/>
            <w:noWrap/>
          </w:tcPr>
          <w:p w14:paraId="53FC7BBD"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45,051.0</w:t>
            </w:r>
          </w:p>
        </w:tc>
        <w:tc>
          <w:tcPr>
            <w:tcW w:w="1125" w:type="dxa"/>
            <w:tcBorders>
              <w:top w:val="single" w:sz="4" w:space="0" w:color="auto"/>
              <w:left w:val="nil"/>
              <w:bottom w:val="single" w:sz="4" w:space="0" w:color="auto"/>
              <w:right w:val="single" w:sz="4" w:space="0" w:color="auto"/>
            </w:tcBorders>
            <w:shd w:val="clear" w:color="auto" w:fill="auto"/>
            <w:noWrap/>
          </w:tcPr>
          <w:p w14:paraId="1823E1CC"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43,202.5</w:t>
            </w:r>
          </w:p>
        </w:tc>
        <w:tc>
          <w:tcPr>
            <w:tcW w:w="1147" w:type="dxa"/>
            <w:tcBorders>
              <w:top w:val="single" w:sz="4" w:space="0" w:color="auto"/>
              <w:left w:val="nil"/>
              <w:bottom w:val="single" w:sz="4" w:space="0" w:color="auto"/>
              <w:right w:val="single" w:sz="4" w:space="0" w:color="auto"/>
            </w:tcBorders>
            <w:shd w:val="clear" w:color="auto" w:fill="auto"/>
            <w:noWrap/>
          </w:tcPr>
          <w:p w14:paraId="339A044F"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36,616.1</w:t>
            </w:r>
          </w:p>
        </w:tc>
        <w:tc>
          <w:tcPr>
            <w:tcW w:w="1117" w:type="dxa"/>
            <w:tcBorders>
              <w:top w:val="single" w:sz="4" w:space="0" w:color="auto"/>
              <w:left w:val="nil"/>
              <w:bottom w:val="single" w:sz="4" w:space="0" w:color="auto"/>
              <w:right w:val="single" w:sz="4" w:space="0" w:color="auto"/>
            </w:tcBorders>
            <w:shd w:val="clear" w:color="auto" w:fill="auto"/>
            <w:noWrap/>
          </w:tcPr>
          <w:p w14:paraId="36A42331"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39,108.8</w:t>
            </w:r>
          </w:p>
        </w:tc>
        <w:tc>
          <w:tcPr>
            <w:tcW w:w="1087" w:type="dxa"/>
            <w:tcBorders>
              <w:top w:val="single" w:sz="4" w:space="0" w:color="auto"/>
              <w:left w:val="nil"/>
              <w:bottom w:val="single" w:sz="4" w:space="0" w:color="auto"/>
              <w:right w:val="single" w:sz="4" w:space="0" w:color="auto"/>
            </w:tcBorders>
            <w:shd w:val="clear" w:color="auto" w:fill="auto"/>
            <w:noWrap/>
          </w:tcPr>
          <w:p w14:paraId="51E6D622"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43,494.7</w:t>
            </w:r>
          </w:p>
        </w:tc>
        <w:tc>
          <w:tcPr>
            <w:tcW w:w="1104" w:type="dxa"/>
            <w:tcBorders>
              <w:top w:val="single" w:sz="4" w:space="0" w:color="auto"/>
              <w:left w:val="nil"/>
              <w:bottom w:val="single" w:sz="4" w:space="0" w:color="auto"/>
              <w:right w:val="single" w:sz="4" w:space="0" w:color="auto"/>
            </w:tcBorders>
            <w:shd w:val="clear" w:color="auto" w:fill="auto"/>
            <w:noWrap/>
          </w:tcPr>
          <w:p w14:paraId="1FB1AD32"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45,055.4</w:t>
            </w:r>
          </w:p>
        </w:tc>
      </w:tr>
      <w:tr w:rsidR="00896338" w:rsidRPr="00054A7A" w14:paraId="2C88808D" w14:textId="77777777">
        <w:trPr>
          <w:trHeight w:val="20"/>
          <w:jc w:val="center"/>
        </w:trPr>
        <w:tc>
          <w:tcPr>
            <w:tcW w:w="4107" w:type="dxa"/>
            <w:tcBorders>
              <w:top w:val="single" w:sz="4" w:space="0" w:color="auto"/>
              <w:left w:val="single" w:sz="4" w:space="0" w:color="auto"/>
              <w:bottom w:val="single" w:sz="4" w:space="0" w:color="auto"/>
              <w:right w:val="single" w:sz="4" w:space="0" w:color="auto"/>
            </w:tcBorders>
            <w:shd w:val="clear" w:color="auto" w:fill="auto"/>
            <w:vAlign w:val="center"/>
          </w:tcPr>
          <w:p w14:paraId="15FA84B9" w14:textId="77777777" w:rsidR="00896338" w:rsidRPr="007D1689" w:rsidRDefault="00896338" w:rsidP="001271F2">
            <w:pPr>
              <w:pStyle w:val="Texto"/>
              <w:spacing w:before="40" w:after="40" w:line="224" w:lineRule="exact"/>
              <w:ind w:left="432" w:firstLine="0"/>
              <w:rPr>
                <w:sz w:val="13"/>
                <w:szCs w:val="13"/>
                <w:lang w:eastAsia="es-MX"/>
              </w:rPr>
            </w:pPr>
            <w:r w:rsidRPr="007D1689">
              <w:rPr>
                <w:sz w:val="13"/>
                <w:szCs w:val="13"/>
                <w:lang w:eastAsia="es-MX"/>
              </w:rPr>
              <w:t>Impuesto general de importación</w:t>
            </w:r>
          </w:p>
        </w:tc>
        <w:tc>
          <w:tcPr>
            <w:tcW w:w="1094" w:type="dxa"/>
            <w:tcBorders>
              <w:top w:val="single" w:sz="4" w:space="0" w:color="auto"/>
              <w:left w:val="nil"/>
              <w:bottom w:val="single" w:sz="4" w:space="0" w:color="auto"/>
              <w:right w:val="single" w:sz="4" w:space="0" w:color="auto"/>
            </w:tcBorders>
            <w:shd w:val="clear" w:color="auto" w:fill="auto"/>
            <w:noWrap/>
          </w:tcPr>
          <w:p w14:paraId="46C26C85"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5,451.2</w:t>
            </w:r>
          </w:p>
        </w:tc>
        <w:tc>
          <w:tcPr>
            <w:tcW w:w="1125" w:type="dxa"/>
            <w:tcBorders>
              <w:top w:val="single" w:sz="4" w:space="0" w:color="auto"/>
              <w:left w:val="nil"/>
              <w:bottom w:val="single" w:sz="4" w:space="0" w:color="auto"/>
              <w:right w:val="single" w:sz="4" w:space="0" w:color="auto"/>
            </w:tcBorders>
            <w:shd w:val="clear" w:color="auto" w:fill="auto"/>
            <w:noWrap/>
          </w:tcPr>
          <w:p w14:paraId="2BCA16D0"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4,897.0</w:t>
            </w:r>
          </w:p>
        </w:tc>
        <w:tc>
          <w:tcPr>
            <w:tcW w:w="1147" w:type="dxa"/>
            <w:tcBorders>
              <w:top w:val="single" w:sz="4" w:space="0" w:color="auto"/>
              <w:left w:val="nil"/>
              <w:bottom w:val="single" w:sz="4" w:space="0" w:color="auto"/>
              <w:right w:val="single" w:sz="4" w:space="0" w:color="auto"/>
            </w:tcBorders>
            <w:shd w:val="clear" w:color="auto" w:fill="auto"/>
            <w:noWrap/>
          </w:tcPr>
          <w:p w14:paraId="02DA0401"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4,524.2</w:t>
            </w:r>
          </w:p>
        </w:tc>
        <w:tc>
          <w:tcPr>
            <w:tcW w:w="1117" w:type="dxa"/>
            <w:tcBorders>
              <w:top w:val="single" w:sz="4" w:space="0" w:color="auto"/>
              <w:left w:val="nil"/>
              <w:bottom w:val="single" w:sz="4" w:space="0" w:color="auto"/>
              <w:right w:val="single" w:sz="4" w:space="0" w:color="auto"/>
            </w:tcBorders>
            <w:shd w:val="clear" w:color="auto" w:fill="auto"/>
            <w:noWrap/>
          </w:tcPr>
          <w:p w14:paraId="00D8570F"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4,414.4</w:t>
            </w:r>
          </w:p>
        </w:tc>
        <w:tc>
          <w:tcPr>
            <w:tcW w:w="1087" w:type="dxa"/>
            <w:tcBorders>
              <w:top w:val="single" w:sz="4" w:space="0" w:color="auto"/>
              <w:left w:val="nil"/>
              <w:bottom w:val="single" w:sz="4" w:space="0" w:color="auto"/>
              <w:right w:val="single" w:sz="4" w:space="0" w:color="auto"/>
            </w:tcBorders>
            <w:shd w:val="clear" w:color="auto" w:fill="auto"/>
            <w:noWrap/>
          </w:tcPr>
          <w:p w14:paraId="069092E0"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4,873.8</w:t>
            </w:r>
          </w:p>
        </w:tc>
        <w:tc>
          <w:tcPr>
            <w:tcW w:w="1104" w:type="dxa"/>
            <w:tcBorders>
              <w:top w:val="single" w:sz="4" w:space="0" w:color="auto"/>
              <w:left w:val="nil"/>
              <w:bottom w:val="single" w:sz="4" w:space="0" w:color="auto"/>
              <w:right w:val="single" w:sz="4" w:space="0" w:color="auto"/>
            </w:tcBorders>
            <w:shd w:val="clear" w:color="auto" w:fill="auto"/>
            <w:noWrap/>
          </w:tcPr>
          <w:p w14:paraId="735F5D3A"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4,859.5</w:t>
            </w:r>
          </w:p>
        </w:tc>
      </w:tr>
      <w:tr w:rsidR="00896338" w:rsidRPr="00054A7A" w14:paraId="2CCF3D24" w14:textId="77777777">
        <w:trPr>
          <w:trHeight w:val="20"/>
          <w:jc w:val="center"/>
        </w:trPr>
        <w:tc>
          <w:tcPr>
            <w:tcW w:w="4107" w:type="dxa"/>
            <w:tcBorders>
              <w:top w:val="nil"/>
              <w:left w:val="single" w:sz="4" w:space="0" w:color="auto"/>
              <w:bottom w:val="single" w:sz="4" w:space="0" w:color="auto"/>
              <w:right w:val="single" w:sz="4" w:space="0" w:color="auto"/>
            </w:tcBorders>
            <w:shd w:val="clear" w:color="auto" w:fill="auto"/>
            <w:vAlign w:val="center"/>
          </w:tcPr>
          <w:p w14:paraId="0BB85E4B" w14:textId="77777777" w:rsidR="00896338" w:rsidRPr="007D1689" w:rsidRDefault="00896338" w:rsidP="001271F2">
            <w:pPr>
              <w:pStyle w:val="Texto"/>
              <w:spacing w:before="40" w:after="40" w:line="224" w:lineRule="exact"/>
              <w:ind w:left="432" w:firstLine="0"/>
              <w:rPr>
                <w:sz w:val="13"/>
                <w:szCs w:val="13"/>
                <w:lang w:eastAsia="es-MX"/>
              </w:rPr>
            </w:pPr>
            <w:r w:rsidRPr="007D1689">
              <w:rPr>
                <w:sz w:val="13"/>
                <w:szCs w:val="13"/>
                <w:lang w:eastAsia="es-MX"/>
              </w:rPr>
              <w:t>Otros impuestos 1_/</w:t>
            </w:r>
          </w:p>
        </w:tc>
        <w:tc>
          <w:tcPr>
            <w:tcW w:w="1094" w:type="dxa"/>
            <w:tcBorders>
              <w:top w:val="nil"/>
              <w:left w:val="nil"/>
              <w:bottom w:val="single" w:sz="4" w:space="0" w:color="auto"/>
              <w:right w:val="single" w:sz="4" w:space="0" w:color="auto"/>
            </w:tcBorders>
            <w:shd w:val="clear" w:color="auto" w:fill="auto"/>
            <w:noWrap/>
          </w:tcPr>
          <w:p w14:paraId="3B061825"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5,078.7</w:t>
            </w:r>
          </w:p>
        </w:tc>
        <w:tc>
          <w:tcPr>
            <w:tcW w:w="1125" w:type="dxa"/>
            <w:tcBorders>
              <w:top w:val="nil"/>
              <w:left w:val="nil"/>
              <w:bottom w:val="single" w:sz="4" w:space="0" w:color="auto"/>
              <w:right w:val="single" w:sz="4" w:space="0" w:color="auto"/>
            </w:tcBorders>
            <w:shd w:val="clear" w:color="auto" w:fill="auto"/>
            <w:noWrap/>
          </w:tcPr>
          <w:p w14:paraId="73D9266B"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5,032.1</w:t>
            </w:r>
          </w:p>
        </w:tc>
        <w:tc>
          <w:tcPr>
            <w:tcW w:w="1147" w:type="dxa"/>
            <w:tcBorders>
              <w:top w:val="nil"/>
              <w:left w:val="nil"/>
              <w:bottom w:val="single" w:sz="4" w:space="0" w:color="auto"/>
              <w:right w:val="single" w:sz="4" w:space="0" w:color="auto"/>
            </w:tcBorders>
            <w:shd w:val="clear" w:color="auto" w:fill="auto"/>
            <w:noWrap/>
          </w:tcPr>
          <w:p w14:paraId="6CA3D50C"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6,212.9</w:t>
            </w:r>
          </w:p>
        </w:tc>
        <w:tc>
          <w:tcPr>
            <w:tcW w:w="1117" w:type="dxa"/>
            <w:tcBorders>
              <w:top w:val="nil"/>
              <w:left w:val="nil"/>
              <w:bottom w:val="single" w:sz="4" w:space="0" w:color="auto"/>
              <w:right w:val="single" w:sz="4" w:space="0" w:color="auto"/>
            </w:tcBorders>
            <w:shd w:val="clear" w:color="auto" w:fill="auto"/>
            <w:noWrap/>
          </w:tcPr>
          <w:p w14:paraId="64312910"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6,142.2</w:t>
            </w:r>
          </w:p>
        </w:tc>
        <w:tc>
          <w:tcPr>
            <w:tcW w:w="1087" w:type="dxa"/>
            <w:tcBorders>
              <w:top w:val="nil"/>
              <w:left w:val="nil"/>
              <w:bottom w:val="single" w:sz="4" w:space="0" w:color="auto"/>
              <w:right w:val="single" w:sz="4" w:space="0" w:color="auto"/>
            </w:tcBorders>
            <w:shd w:val="clear" w:color="auto" w:fill="auto"/>
            <w:noWrap/>
          </w:tcPr>
          <w:p w14:paraId="4D0146D1"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6,337.8</w:t>
            </w:r>
          </w:p>
        </w:tc>
        <w:tc>
          <w:tcPr>
            <w:tcW w:w="1104" w:type="dxa"/>
            <w:tcBorders>
              <w:top w:val="nil"/>
              <w:left w:val="nil"/>
              <w:bottom w:val="single" w:sz="4" w:space="0" w:color="auto"/>
              <w:right w:val="single" w:sz="4" w:space="0" w:color="auto"/>
            </w:tcBorders>
            <w:shd w:val="clear" w:color="auto" w:fill="auto"/>
            <w:noWrap/>
          </w:tcPr>
          <w:p w14:paraId="4506B15E"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6,681.2</w:t>
            </w:r>
          </w:p>
        </w:tc>
      </w:tr>
      <w:tr w:rsidR="00896338" w:rsidRPr="00054A7A" w14:paraId="7F846321" w14:textId="77777777">
        <w:trPr>
          <w:trHeight w:val="20"/>
          <w:jc w:val="center"/>
        </w:trPr>
        <w:tc>
          <w:tcPr>
            <w:tcW w:w="4107" w:type="dxa"/>
            <w:tcBorders>
              <w:top w:val="nil"/>
              <w:left w:val="single" w:sz="4" w:space="0" w:color="auto"/>
              <w:bottom w:val="single" w:sz="4" w:space="0" w:color="auto"/>
              <w:right w:val="single" w:sz="4" w:space="0" w:color="auto"/>
            </w:tcBorders>
            <w:shd w:val="clear" w:color="auto" w:fill="auto"/>
            <w:vAlign w:val="center"/>
          </w:tcPr>
          <w:p w14:paraId="25694753" w14:textId="77777777" w:rsidR="00896338" w:rsidRPr="007D1689" w:rsidRDefault="00896338" w:rsidP="001271F2">
            <w:pPr>
              <w:pStyle w:val="Texto"/>
              <w:spacing w:before="40" w:after="40" w:line="224" w:lineRule="exact"/>
              <w:ind w:left="288" w:firstLine="0"/>
              <w:rPr>
                <w:b/>
                <w:bCs/>
                <w:sz w:val="13"/>
                <w:szCs w:val="13"/>
                <w:lang w:eastAsia="es-MX"/>
              </w:rPr>
            </w:pPr>
            <w:r w:rsidRPr="007D1689">
              <w:rPr>
                <w:b/>
                <w:bCs/>
                <w:sz w:val="13"/>
                <w:szCs w:val="13"/>
                <w:lang w:eastAsia="es-MX"/>
              </w:rPr>
              <w:t>Derechos</w:t>
            </w:r>
          </w:p>
        </w:tc>
        <w:tc>
          <w:tcPr>
            <w:tcW w:w="1094" w:type="dxa"/>
            <w:tcBorders>
              <w:top w:val="nil"/>
              <w:left w:val="nil"/>
              <w:bottom w:val="single" w:sz="4" w:space="0" w:color="auto"/>
              <w:right w:val="single" w:sz="4" w:space="0" w:color="auto"/>
            </w:tcBorders>
            <w:shd w:val="clear" w:color="auto" w:fill="auto"/>
            <w:noWrap/>
          </w:tcPr>
          <w:p w14:paraId="52E20C4D"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4,493.6</w:t>
            </w:r>
          </w:p>
        </w:tc>
        <w:tc>
          <w:tcPr>
            <w:tcW w:w="1125" w:type="dxa"/>
            <w:tcBorders>
              <w:top w:val="nil"/>
              <w:left w:val="nil"/>
              <w:bottom w:val="single" w:sz="4" w:space="0" w:color="auto"/>
              <w:right w:val="single" w:sz="4" w:space="0" w:color="auto"/>
            </w:tcBorders>
            <w:shd w:val="clear" w:color="auto" w:fill="auto"/>
            <w:noWrap/>
          </w:tcPr>
          <w:p w14:paraId="44FEB4F2"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1,144.6</w:t>
            </w:r>
          </w:p>
        </w:tc>
        <w:tc>
          <w:tcPr>
            <w:tcW w:w="1147" w:type="dxa"/>
            <w:tcBorders>
              <w:top w:val="nil"/>
              <w:left w:val="nil"/>
              <w:bottom w:val="single" w:sz="4" w:space="0" w:color="auto"/>
              <w:right w:val="single" w:sz="4" w:space="0" w:color="auto"/>
            </w:tcBorders>
            <w:shd w:val="clear" w:color="auto" w:fill="auto"/>
            <w:noWrap/>
          </w:tcPr>
          <w:p w14:paraId="7A7092FC"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15,633.1</w:t>
            </w:r>
          </w:p>
        </w:tc>
        <w:tc>
          <w:tcPr>
            <w:tcW w:w="1117" w:type="dxa"/>
            <w:tcBorders>
              <w:top w:val="nil"/>
              <w:left w:val="nil"/>
              <w:bottom w:val="single" w:sz="4" w:space="0" w:color="auto"/>
              <w:right w:val="single" w:sz="4" w:space="0" w:color="auto"/>
            </w:tcBorders>
            <w:shd w:val="clear" w:color="auto" w:fill="auto"/>
            <w:noWrap/>
          </w:tcPr>
          <w:p w14:paraId="4BC3BD0A"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4,688.4</w:t>
            </w:r>
          </w:p>
        </w:tc>
        <w:tc>
          <w:tcPr>
            <w:tcW w:w="1087" w:type="dxa"/>
            <w:tcBorders>
              <w:top w:val="nil"/>
              <w:left w:val="nil"/>
              <w:bottom w:val="single" w:sz="4" w:space="0" w:color="auto"/>
              <w:right w:val="single" w:sz="4" w:space="0" w:color="auto"/>
            </w:tcBorders>
            <w:shd w:val="clear" w:color="auto" w:fill="auto"/>
            <w:noWrap/>
          </w:tcPr>
          <w:p w14:paraId="2F380D43"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1,623.7</w:t>
            </w:r>
          </w:p>
        </w:tc>
        <w:tc>
          <w:tcPr>
            <w:tcW w:w="1104" w:type="dxa"/>
            <w:tcBorders>
              <w:top w:val="nil"/>
              <w:left w:val="nil"/>
              <w:bottom w:val="single" w:sz="4" w:space="0" w:color="auto"/>
              <w:right w:val="single" w:sz="4" w:space="0" w:color="auto"/>
            </w:tcBorders>
            <w:shd w:val="clear" w:color="auto" w:fill="auto"/>
            <w:noWrap/>
          </w:tcPr>
          <w:p w14:paraId="14619B02"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825.5</w:t>
            </w:r>
          </w:p>
        </w:tc>
      </w:tr>
      <w:tr w:rsidR="00896338" w:rsidRPr="00054A7A" w14:paraId="68AF3A59" w14:textId="77777777">
        <w:trPr>
          <w:trHeight w:val="20"/>
          <w:jc w:val="center"/>
        </w:trPr>
        <w:tc>
          <w:tcPr>
            <w:tcW w:w="4107" w:type="dxa"/>
            <w:tcBorders>
              <w:top w:val="nil"/>
              <w:left w:val="single" w:sz="4" w:space="0" w:color="auto"/>
              <w:bottom w:val="single" w:sz="4" w:space="0" w:color="auto"/>
              <w:right w:val="single" w:sz="4" w:space="0" w:color="auto"/>
            </w:tcBorders>
            <w:shd w:val="clear" w:color="auto" w:fill="auto"/>
            <w:vAlign w:val="center"/>
          </w:tcPr>
          <w:p w14:paraId="14DBED2A" w14:textId="77777777" w:rsidR="00896338" w:rsidRPr="007D1689" w:rsidRDefault="00896338" w:rsidP="001271F2">
            <w:pPr>
              <w:pStyle w:val="Texto"/>
              <w:spacing w:before="40" w:after="40" w:line="224" w:lineRule="exact"/>
              <w:ind w:left="288" w:firstLine="0"/>
              <w:rPr>
                <w:b/>
                <w:bCs/>
                <w:sz w:val="13"/>
                <w:szCs w:val="13"/>
                <w:lang w:eastAsia="es-MX"/>
              </w:rPr>
            </w:pPr>
            <w:r w:rsidRPr="007D1689">
              <w:rPr>
                <w:b/>
                <w:bCs/>
                <w:sz w:val="13"/>
                <w:szCs w:val="13"/>
                <w:lang w:eastAsia="es-MX"/>
              </w:rPr>
              <w:t>Aprovechamientos</w:t>
            </w:r>
          </w:p>
        </w:tc>
        <w:tc>
          <w:tcPr>
            <w:tcW w:w="1094" w:type="dxa"/>
            <w:tcBorders>
              <w:top w:val="nil"/>
              <w:left w:val="nil"/>
              <w:bottom w:val="single" w:sz="4" w:space="0" w:color="auto"/>
              <w:right w:val="single" w:sz="4" w:space="0" w:color="auto"/>
            </w:tcBorders>
            <w:shd w:val="clear" w:color="auto" w:fill="auto"/>
            <w:noWrap/>
          </w:tcPr>
          <w:p w14:paraId="5426279E"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5,668.9</w:t>
            </w:r>
          </w:p>
        </w:tc>
        <w:tc>
          <w:tcPr>
            <w:tcW w:w="1125" w:type="dxa"/>
            <w:tcBorders>
              <w:top w:val="nil"/>
              <w:left w:val="nil"/>
              <w:bottom w:val="single" w:sz="4" w:space="0" w:color="auto"/>
              <w:right w:val="single" w:sz="4" w:space="0" w:color="auto"/>
            </w:tcBorders>
            <w:shd w:val="clear" w:color="auto" w:fill="auto"/>
            <w:noWrap/>
          </w:tcPr>
          <w:p w14:paraId="56CABD8D"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4,334.9</w:t>
            </w:r>
          </w:p>
        </w:tc>
        <w:tc>
          <w:tcPr>
            <w:tcW w:w="1147" w:type="dxa"/>
            <w:tcBorders>
              <w:top w:val="nil"/>
              <w:left w:val="nil"/>
              <w:bottom w:val="single" w:sz="4" w:space="0" w:color="auto"/>
              <w:right w:val="single" w:sz="4" w:space="0" w:color="auto"/>
            </w:tcBorders>
            <w:shd w:val="clear" w:color="auto" w:fill="auto"/>
            <w:noWrap/>
          </w:tcPr>
          <w:p w14:paraId="3AD6AC4E"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17,106.9</w:t>
            </w:r>
          </w:p>
        </w:tc>
        <w:tc>
          <w:tcPr>
            <w:tcW w:w="1117" w:type="dxa"/>
            <w:tcBorders>
              <w:top w:val="nil"/>
              <w:left w:val="nil"/>
              <w:bottom w:val="single" w:sz="4" w:space="0" w:color="auto"/>
              <w:right w:val="single" w:sz="4" w:space="0" w:color="auto"/>
            </w:tcBorders>
            <w:shd w:val="clear" w:color="auto" w:fill="auto"/>
            <w:noWrap/>
          </w:tcPr>
          <w:p w14:paraId="589CFD42"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9,977.3</w:t>
            </w:r>
          </w:p>
        </w:tc>
        <w:tc>
          <w:tcPr>
            <w:tcW w:w="1087" w:type="dxa"/>
            <w:tcBorders>
              <w:top w:val="nil"/>
              <w:left w:val="nil"/>
              <w:bottom w:val="single" w:sz="4" w:space="0" w:color="auto"/>
              <w:right w:val="single" w:sz="4" w:space="0" w:color="auto"/>
            </w:tcBorders>
            <w:shd w:val="clear" w:color="auto" w:fill="auto"/>
            <w:noWrap/>
          </w:tcPr>
          <w:p w14:paraId="19ACAD69"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13,094.9</w:t>
            </w:r>
          </w:p>
        </w:tc>
        <w:tc>
          <w:tcPr>
            <w:tcW w:w="1104" w:type="dxa"/>
            <w:tcBorders>
              <w:top w:val="nil"/>
              <w:left w:val="nil"/>
              <w:bottom w:val="single" w:sz="4" w:space="0" w:color="auto"/>
              <w:right w:val="single" w:sz="4" w:space="0" w:color="auto"/>
            </w:tcBorders>
            <w:shd w:val="clear" w:color="auto" w:fill="auto"/>
            <w:noWrap/>
          </w:tcPr>
          <w:p w14:paraId="10856638"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18,520.1</w:t>
            </w:r>
          </w:p>
        </w:tc>
      </w:tr>
      <w:tr w:rsidR="00896338" w:rsidRPr="00054A7A" w14:paraId="338D920C" w14:textId="77777777">
        <w:trPr>
          <w:trHeight w:val="20"/>
          <w:jc w:val="center"/>
        </w:trPr>
        <w:tc>
          <w:tcPr>
            <w:tcW w:w="4107" w:type="dxa"/>
            <w:tcBorders>
              <w:top w:val="single" w:sz="4" w:space="0" w:color="auto"/>
              <w:left w:val="single" w:sz="4" w:space="0" w:color="auto"/>
              <w:bottom w:val="single" w:sz="4" w:space="0" w:color="auto"/>
              <w:right w:val="single" w:sz="4" w:space="0" w:color="auto"/>
            </w:tcBorders>
            <w:shd w:val="clear" w:color="auto" w:fill="auto"/>
            <w:vAlign w:val="center"/>
          </w:tcPr>
          <w:p w14:paraId="255E5787" w14:textId="77777777" w:rsidR="00896338" w:rsidRPr="007D1689" w:rsidRDefault="00896338" w:rsidP="001271F2">
            <w:pPr>
              <w:pStyle w:val="Texto"/>
              <w:spacing w:before="40" w:after="40" w:line="224" w:lineRule="exact"/>
              <w:ind w:left="432" w:firstLine="0"/>
              <w:rPr>
                <w:sz w:val="13"/>
                <w:szCs w:val="13"/>
                <w:lang w:eastAsia="es-MX"/>
              </w:rPr>
            </w:pPr>
            <w:r w:rsidRPr="007D1689">
              <w:rPr>
                <w:sz w:val="13"/>
                <w:szCs w:val="13"/>
                <w:lang w:eastAsia="es-MX"/>
              </w:rPr>
              <w:t>Desincorporaciones</w:t>
            </w:r>
          </w:p>
        </w:tc>
        <w:tc>
          <w:tcPr>
            <w:tcW w:w="1094" w:type="dxa"/>
            <w:tcBorders>
              <w:top w:val="single" w:sz="4" w:space="0" w:color="auto"/>
              <w:left w:val="single" w:sz="4" w:space="0" w:color="auto"/>
              <w:bottom w:val="single" w:sz="4" w:space="0" w:color="auto"/>
              <w:right w:val="single" w:sz="4" w:space="0" w:color="auto"/>
            </w:tcBorders>
            <w:shd w:val="clear" w:color="auto" w:fill="auto"/>
            <w:noWrap/>
          </w:tcPr>
          <w:p w14:paraId="2F509ECD"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0.0</w:t>
            </w:r>
          </w:p>
        </w:tc>
        <w:tc>
          <w:tcPr>
            <w:tcW w:w="1125" w:type="dxa"/>
            <w:tcBorders>
              <w:top w:val="single" w:sz="4" w:space="0" w:color="auto"/>
              <w:left w:val="nil"/>
              <w:bottom w:val="single" w:sz="4" w:space="0" w:color="auto"/>
              <w:right w:val="single" w:sz="4" w:space="0" w:color="auto"/>
            </w:tcBorders>
            <w:shd w:val="clear" w:color="auto" w:fill="auto"/>
            <w:noWrap/>
          </w:tcPr>
          <w:p w14:paraId="42E8E043"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0.0</w:t>
            </w:r>
          </w:p>
        </w:tc>
        <w:tc>
          <w:tcPr>
            <w:tcW w:w="1147" w:type="dxa"/>
            <w:tcBorders>
              <w:top w:val="single" w:sz="4" w:space="0" w:color="auto"/>
              <w:left w:val="nil"/>
              <w:bottom w:val="single" w:sz="4" w:space="0" w:color="auto"/>
              <w:right w:val="single" w:sz="4" w:space="0" w:color="auto"/>
            </w:tcBorders>
            <w:shd w:val="clear" w:color="auto" w:fill="auto"/>
            <w:noWrap/>
          </w:tcPr>
          <w:p w14:paraId="7AF0303F"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0.0</w:t>
            </w:r>
          </w:p>
        </w:tc>
        <w:tc>
          <w:tcPr>
            <w:tcW w:w="1117" w:type="dxa"/>
            <w:tcBorders>
              <w:top w:val="single" w:sz="4" w:space="0" w:color="auto"/>
              <w:left w:val="nil"/>
              <w:bottom w:val="single" w:sz="4" w:space="0" w:color="auto"/>
              <w:right w:val="single" w:sz="4" w:space="0" w:color="auto"/>
            </w:tcBorders>
            <w:shd w:val="clear" w:color="auto" w:fill="auto"/>
            <w:noWrap/>
          </w:tcPr>
          <w:p w14:paraId="6B77CCC8"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0.0</w:t>
            </w:r>
          </w:p>
        </w:tc>
        <w:tc>
          <w:tcPr>
            <w:tcW w:w="1087" w:type="dxa"/>
            <w:tcBorders>
              <w:top w:val="single" w:sz="4" w:space="0" w:color="auto"/>
              <w:left w:val="nil"/>
              <w:bottom w:val="single" w:sz="4" w:space="0" w:color="auto"/>
              <w:right w:val="single" w:sz="4" w:space="0" w:color="auto"/>
            </w:tcBorders>
            <w:shd w:val="clear" w:color="auto" w:fill="auto"/>
            <w:noWrap/>
          </w:tcPr>
          <w:p w14:paraId="6DF80412"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0.0</w:t>
            </w:r>
          </w:p>
        </w:tc>
        <w:tc>
          <w:tcPr>
            <w:tcW w:w="1104" w:type="dxa"/>
            <w:tcBorders>
              <w:top w:val="single" w:sz="4" w:space="0" w:color="auto"/>
              <w:left w:val="nil"/>
              <w:bottom w:val="single" w:sz="4" w:space="0" w:color="auto"/>
              <w:right w:val="single" w:sz="4" w:space="0" w:color="auto"/>
            </w:tcBorders>
            <w:shd w:val="clear" w:color="auto" w:fill="auto"/>
            <w:noWrap/>
          </w:tcPr>
          <w:p w14:paraId="5EC12AA3"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0.0</w:t>
            </w:r>
          </w:p>
        </w:tc>
      </w:tr>
      <w:tr w:rsidR="00896338" w:rsidRPr="00054A7A" w14:paraId="091B7DF9" w14:textId="77777777">
        <w:trPr>
          <w:trHeight w:val="20"/>
          <w:jc w:val="center"/>
        </w:trPr>
        <w:tc>
          <w:tcPr>
            <w:tcW w:w="4107" w:type="dxa"/>
            <w:tcBorders>
              <w:top w:val="single" w:sz="4" w:space="0" w:color="auto"/>
              <w:left w:val="single" w:sz="4" w:space="0" w:color="auto"/>
              <w:bottom w:val="single" w:sz="4" w:space="0" w:color="auto"/>
              <w:right w:val="single" w:sz="4" w:space="0" w:color="auto"/>
            </w:tcBorders>
            <w:shd w:val="clear" w:color="auto" w:fill="auto"/>
            <w:vAlign w:val="center"/>
          </w:tcPr>
          <w:p w14:paraId="5928A03D" w14:textId="77777777" w:rsidR="00896338" w:rsidRPr="007D1689" w:rsidRDefault="00896338" w:rsidP="001271F2">
            <w:pPr>
              <w:pStyle w:val="Texto"/>
              <w:spacing w:before="40" w:after="40" w:line="224" w:lineRule="exact"/>
              <w:ind w:left="432" w:firstLine="0"/>
              <w:rPr>
                <w:sz w:val="13"/>
                <w:szCs w:val="13"/>
                <w:lang w:eastAsia="es-MX"/>
              </w:rPr>
            </w:pPr>
            <w:r w:rsidRPr="007D1689">
              <w:rPr>
                <w:sz w:val="13"/>
                <w:szCs w:val="13"/>
                <w:lang w:eastAsia="es-MX"/>
              </w:rPr>
              <w:t>No comprendidos en los incisos anteriores provenientes del cumplimiento de convenios celebrados en otros ejercicios 2_/</w:t>
            </w:r>
          </w:p>
        </w:tc>
        <w:tc>
          <w:tcPr>
            <w:tcW w:w="1094" w:type="dxa"/>
            <w:tcBorders>
              <w:top w:val="single" w:sz="4" w:space="0" w:color="auto"/>
              <w:left w:val="nil"/>
              <w:bottom w:val="single" w:sz="4" w:space="0" w:color="auto"/>
              <w:right w:val="single" w:sz="4" w:space="0" w:color="auto"/>
            </w:tcBorders>
            <w:shd w:val="clear" w:color="auto" w:fill="auto"/>
            <w:noWrap/>
          </w:tcPr>
          <w:p w14:paraId="069821C0"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0.0</w:t>
            </w:r>
          </w:p>
        </w:tc>
        <w:tc>
          <w:tcPr>
            <w:tcW w:w="1125" w:type="dxa"/>
            <w:tcBorders>
              <w:top w:val="single" w:sz="4" w:space="0" w:color="auto"/>
              <w:left w:val="nil"/>
              <w:bottom w:val="single" w:sz="4" w:space="0" w:color="auto"/>
              <w:right w:val="single" w:sz="4" w:space="0" w:color="auto"/>
            </w:tcBorders>
            <w:shd w:val="clear" w:color="auto" w:fill="auto"/>
            <w:noWrap/>
          </w:tcPr>
          <w:p w14:paraId="15537135"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0.0</w:t>
            </w:r>
          </w:p>
        </w:tc>
        <w:tc>
          <w:tcPr>
            <w:tcW w:w="1147" w:type="dxa"/>
            <w:tcBorders>
              <w:top w:val="single" w:sz="4" w:space="0" w:color="auto"/>
              <w:left w:val="nil"/>
              <w:bottom w:val="single" w:sz="4" w:space="0" w:color="auto"/>
              <w:right w:val="single" w:sz="4" w:space="0" w:color="auto"/>
            </w:tcBorders>
            <w:shd w:val="clear" w:color="auto" w:fill="auto"/>
            <w:noWrap/>
          </w:tcPr>
          <w:p w14:paraId="3D2AC968"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0.0</w:t>
            </w:r>
          </w:p>
        </w:tc>
        <w:tc>
          <w:tcPr>
            <w:tcW w:w="1117" w:type="dxa"/>
            <w:tcBorders>
              <w:top w:val="single" w:sz="4" w:space="0" w:color="auto"/>
              <w:left w:val="nil"/>
              <w:bottom w:val="single" w:sz="4" w:space="0" w:color="auto"/>
              <w:right w:val="single" w:sz="4" w:space="0" w:color="auto"/>
            </w:tcBorders>
            <w:shd w:val="clear" w:color="auto" w:fill="auto"/>
            <w:noWrap/>
          </w:tcPr>
          <w:p w14:paraId="2D7D7BBD"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0.0</w:t>
            </w:r>
          </w:p>
        </w:tc>
        <w:tc>
          <w:tcPr>
            <w:tcW w:w="1087" w:type="dxa"/>
            <w:tcBorders>
              <w:top w:val="single" w:sz="4" w:space="0" w:color="auto"/>
              <w:left w:val="nil"/>
              <w:bottom w:val="single" w:sz="4" w:space="0" w:color="auto"/>
              <w:right w:val="single" w:sz="4" w:space="0" w:color="auto"/>
            </w:tcBorders>
            <w:shd w:val="clear" w:color="auto" w:fill="auto"/>
            <w:noWrap/>
          </w:tcPr>
          <w:p w14:paraId="4200DD26"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0.0</w:t>
            </w:r>
          </w:p>
        </w:tc>
        <w:tc>
          <w:tcPr>
            <w:tcW w:w="1104" w:type="dxa"/>
            <w:tcBorders>
              <w:top w:val="single" w:sz="4" w:space="0" w:color="auto"/>
              <w:left w:val="nil"/>
              <w:bottom w:val="single" w:sz="4" w:space="0" w:color="auto"/>
              <w:right w:val="single" w:sz="4" w:space="0" w:color="auto"/>
            </w:tcBorders>
            <w:shd w:val="clear" w:color="auto" w:fill="auto"/>
            <w:noWrap/>
          </w:tcPr>
          <w:p w14:paraId="3630CC54"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0.0</w:t>
            </w:r>
          </w:p>
        </w:tc>
      </w:tr>
      <w:tr w:rsidR="00896338" w:rsidRPr="00054A7A" w14:paraId="7898B7CF" w14:textId="77777777">
        <w:trPr>
          <w:trHeight w:val="20"/>
          <w:jc w:val="center"/>
        </w:trPr>
        <w:tc>
          <w:tcPr>
            <w:tcW w:w="4107" w:type="dxa"/>
            <w:tcBorders>
              <w:top w:val="single" w:sz="4" w:space="0" w:color="auto"/>
              <w:left w:val="single" w:sz="4" w:space="0" w:color="auto"/>
              <w:bottom w:val="single" w:sz="4" w:space="0" w:color="auto"/>
              <w:right w:val="single" w:sz="4" w:space="0" w:color="auto"/>
            </w:tcBorders>
            <w:shd w:val="clear" w:color="auto" w:fill="auto"/>
            <w:vAlign w:val="center"/>
          </w:tcPr>
          <w:p w14:paraId="7EBC698F" w14:textId="77777777" w:rsidR="00896338" w:rsidRPr="007D1689" w:rsidRDefault="00896338" w:rsidP="001271F2">
            <w:pPr>
              <w:pStyle w:val="Texto"/>
              <w:spacing w:before="40" w:after="40" w:line="224" w:lineRule="exact"/>
              <w:ind w:left="432" w:firstLine="0"/>
              <w:rPr>
                <w:sz w:val="13"/>
                <w:szCs w:val="13"/>
                <w:lang w:eastAsia="es-MX"/>
              </w:rPr>
            </w:pPr>
            <w:r w:rsidRPr="007D1689">
              <w:rPr>
                <w:sz w:val="13"/>
                <w:szCs w:val="13"/>
                <w:lang w:eastAsia="es-MX"/>
              </w:rPr>
              <w:t>Otros</w:t>
            </w:r>
          </w:p>
        </w:tc>
        <w:tc>
          <w:tcPr>
            <w:tcW w:w="1094" w:type="dxa"/>
            <w:tcBorders>
              <w:top w:val="single" w:sz="4" w:space="0" w:color="auto"/>
              <w:left w:val="nil"/>
              <w:bottom w:val="single" w:sz="4" w:space="0" w:color="auto"/>
              <w:right w:val="single" w:sz="4" w:space="0" w:color="auto"/>
            </w:tcBorders>
            <w:shd w:val="clear" w:color="auto" w:fill="auto"/>
            <w:noWrap/>
          </w:tcPr>
          <w:p w14:paraId="1D2A8451"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5,668.9</w:t>
            </w:r>
          </w:p>
        </w:tc>
        <w:tc>
          <w:tcPr>
            <w:tcW w:w="1125" w:type="dxa"/>
            <w:tcBorders>
              <w:top w:val="single" w:sz="4" w:space="0" w:color="auto"/>
              <w:left w:val="nil"/>
              <w:bottom w:val="single" w:sz="4" w:space="0" w:color="auto"/>
              <w:right w:val="single" w:sz="4" w:space="0" w:color="auto"/>
            </w:tcBorders>
            <w:shd w:val="clear" w:color="auto" w:fill="auto"/>
            <w:noWrap/>
          </w:tcPr>
          <w:p w14:paraId="0322EA86"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4,334.9</w:t>
            </w:r>
          </w:p>
        </w:tc>
        <w:tc>
          <w:tcPr>
            <w:tcW w:w="1147" w:type="dxa"/>
            <w:tcBorders>
              <w:top w:val="single" w:sz="4" w:space="0" w:color="auto"/>
              <w:left w:val="nil"/>
              <w:bottom w:val="single" w:sz="4" w:space="0" w:color="auto"/>
              <w:right w:val="single" w:sz="4" w:space="0" w:color="auto"/>
            </w:tcBorders>
            <w:shd w:val="clear" w:color="auto" w:fill="auto"/>
            <w:noWrap/>
          </w:tcPr>
          <w:p w14:paraId="6D8BDB03"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17,106.9</w:t>
            </w:r>
          </w:p>
        </w:tc>
        <w:tc>
          <w:tcPr>
            <w:tcW w:w="1117" w:type="dxa"/>
            <w:tcBorders>
              <w:top w:val="single" w:sz="4" w:space="0" w:color="auto"/>
              <w:left w:val="nil"/>
              <w:bottom w:val="single" w:sz="4" w:space="0" w:color="auto"/>
              <w:right w:val="single" w:sz="4" w:space="0" w:color="auto"/>
            </w:tcBorders>
            <w:shd w:val="clear" w:color="auto" w:fill="auto"/>
            <w:noWrap/>
          </w:tcPr>
          <w:p w14:paraId="295DF51C"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9,977.3</w:t>
            </w:r>
          </w:p>
        </w:tc>
        <w:tc>
          <w:tcPr>
            <w:tcW w:w="1087" w:type="dxa"/>
            <w:tcBorders>
              <w:top w:val="single" w:sz="4" w:space="0" w:color="auto"/>
              <w:left w:val="nil"/>
              <w:bottom w:val="single" w:sz="4" w:space="0" w:color="auto"/>
              <w:right w:val="single" w:sz="4" w:space="0" w:color="auto"/>
            </w:tcBorders>
            <w:shd w:val="clear" w:color="auto" w:fill="auto"/>
            <w:noWrap/>
          </w:tcPr>
          <w:p w14:paraId="1490F6AF"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13,094.9</w:t>
            </w:r>
          </w:p>
        </w:tc>
        <w:tc>
          <w:tcPr>
            <w:tcW w:w="1104" w:type="dxa"/>
            <w:tcBorders>
              <w:top w:val="single" w:sz="4" w:space="0" w:color="auto"/>
              <w:left w:val="nil"/>
              <w:bottom w:val="single" w:sz="4" w:space="0" w:color="auto"/>
              <w:right w:val="single" w:sz="4" w:space="0" w:color="auto"/>
            </w:tcBorders>
            <w:shd w:val="clear" w:color="auto" w:fill="auto"/>
            <w:noWrap/>
          </w:tcPr>
          <w:p w14:paraId="1854644E"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18,520.1</w:t>
            </w:r>
          </w:p>
        </w:tc>
      </w:tr>
      <w:tr w:rsidR="00896338" w:rsidRPr="00054A7A" w14:paraId="3BEBED28" w14:textId="77777777">
        <w:trPr>
          <w:trHeight w:val="20"/>
          <w:jc w:val="center"/>
        </w:trPr>
        <w:tc>
          <w:tcPr>
            <w:tcW w:w="4107" w:type="dxa"/>
            <w:tcBorders>
              <w:top w:val="single" w:sz="4" w:space="0" w:color="auto"/>
              <w:left w:val="single" w:sz="4" w:space="0" w:color="auto"/>
              <w:bottom w:val="single" w:sz="4" w:space="0" w:color="auto"/>
              <w:right w:val="single" w:sz="4" w:space="0" w:color="auto"/>
            </w:tcBorders>
            <w:shd w:val="clear" w:color="auto" w:fill="auto"/>
            <w:vAlign w:val="center"/>
          </w:tcPr>
          <w:p w14:paraId="15D0783D" w14:textId="77777777" w:rsidR="00896338" w:rsidRPr="007D1689" w:rsidRDefault="00896338" w:rsidP="001271F2">
            <w:pPr>
              <w:pStyle w:val="Texto"/>
              <w:spacing w:before="40" w:after="40" w:line="224" w:lineRule="exact"/>
              <w:ind w:left="288" w:firstLine="0"/>
              <w:rPr>
                <w:b/>
                <w:bCs/>
                <w:sz w:val="13"/>
                <w:szCs w:val="13"/>
                <w:lang w:eastAsia="es-MX"/>
              </w:rPr>
            </w:pPr>
            <w:r w:rsidRPr="007D1689">
              <w:rPr>
                <w:b/>
                <w:bCs/>
                <w:sz w:val="13"/>
                <w:szCs w:val="13"/>
                <w:lang w:eastAsia="es-MX"/>
              </w:rPr>
              <w:t xml:space="preserve">Transferencias del Fondo Mexicano del Petróleo para la </w:t>
            </w:r>
            <w:r w:rsidRPr="007D1689">
              <w:rPr>
                <w:b/>
                <w:sz w:val="13"/>
                <w:szCs w:val="13"/>
                <w:lang w:eastAsia="es-MX"/>
              </w:rPr>
              <w:t>Estabilización</w:t>
            </w:r>
            <w:r w:rsidRPr="007D1689">
              <w:rPr>
                <w:b/>
                <w:bCs/>
                <w:sz w:val="13"/>
                <w:szCs w:val="13"/>
                <w:lang w:eastAsia="es-MX"/>
              </w:rPr>
              <w:t xml:space="preserve"> y el Desarrollo</w:t>
            </w:r>
          </w:p>
        </w:tc>
        <w:tc>
          <w:tcPr>
            <w:tcW w:w="1094" w:type="dxa"/>
            <w:tcBorders>
              <w:top w:val="single" w:sz="4" w:space="0" w:color="auto"/>
              <w:left w:val="nil"/>
              <w:bottom w:val="single" w:sz="4" w:space="0" w:color="auto"/>
              <w:right w:val="single" w:sz="4" w:space="0" w:color="auto"/>
            </w:tcBorders>
            <w:shd w:val="clear" w:color="auto" w:fill="auto"/>
            <w:noWrap/>
          </w:tcPr>
          <w:p w14:paraId="79A16F55"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16,799.1</w:t>
            </w:r>
          </w:p>
        </w:tc>
        <w:tc>
          <w:tcPr>
            <w:tcW w:w="1125" w:type="dxa"/>
            <w:tcBorders>
              <w:top w:val="single" w:sz="4" w:space="0" w:color="auto"/>
              <w:left w:val="nil"/>
              <w:bottom w:val="single" w:sz="4" w:space="0" w:color="auto"/>
              <w:right w:val="single" w:sz="4" w:space="0" w:color="auto"/>
            </w:tcBorders>
            <w:shd w:val="clear" w:color="auto" w:fill="auto"/>
            <w:noWrap/>
          </w:tcPr>
          <w:p w14:paraId="41391267"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28,333.1</w:t>
            </w:r>
          </w:p>
        </w:tc>
        <w:tc>
          <w:tcPr>
            <w:tcW w:w="1147" w:type="dxa"/>
            <w:tcBorders>
              <w:top w:val="single" w:sz="4" w:space="0" w:color="auto"/>
              <w:left w:val="nil"/>
              <w:bottom w:val="single" w:sz="4" w:space="0" w:color="auto"/>
              <w:right w:val="single" w:sz="4" w:space="0" w:color="auto"/>
            </w:tcBorders>
            <w:shd w:val="clear" w:color="auto" w:fill="auto"/>
            <w:noWrap/>
          </w:tcPr>
          <w:p w14:paraId="4583E371"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24,575.9</w:t>
            </w:r>
          </w:p>
        </w:tc>
        <w:tc>
          <w:tcPr>
            <w:tcW w:w="1117" w:type="dxa"/>
            <w:tcBorders>
              <w:top w:val="single" w:sz="4" w:space="0" w:color="auto"/>
              <w:left w:val="nil"/>
              <w:bottom w:val="single" w:sz="4" w:space="0" w:color="auto"/>
              <w:right w:val="single" w:sz="4" w:space="0" w:color="auto"/>
            </w:tcBorders>
            <w:shd w:val="clear" w:color="auto" w:fill="auto"/>
            <w:noWrap/>
          </w:tcPr>
          <w:p w14:paraId="6FB940B6"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27,107.4</w:t>
            </w:r>
          </w:p>
        </w:tc>
        <w:tc>
          <w:tcPr>
            <w:tcW w:w="1087" w:type="dxa"/>
            <w:tcBorders>
              <w:top w:val="single" w:sz="4" w:space="0" w:color="auto"/>
              <w:left w:val="nil"/>
              <w:bottom w:val="single" w:sz="4" w:space="0" w:color="auto"/>
              <w:right w:val="single" w:sz="4" w:space="0" w:color="auto"/>
            </w:tcBorders>
            <w:shd w:val="clear" w:color="auto" w:fill="auto"/>
            <w:noWrap/>
          </w:tcPr>
          <w:p w14:paraId="30F47E14"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27,627.1</w:t>
            </w:r>
          </w:p>
        </w:tc>
        <w:tc>
          <w:tcPr>
            <w:tcW w:w="1104" w:type="dxa"/>
            <w:tcBorders>
              <w:top w:val="single" w:sz="4" w:space="0" w:color="auto"/>
              <w:left w:val="nil"/>
              <w:bottom w:val="single" w:sz="4" w:space="0" w:color="auto"/>
              <w:right w:val="single" w:sz="4" w:space="0" w:color="auto"/>
            </w:tcBorders>
            <w:shd w:val="clear" w:color="auto" w:fill="auto"/>
            <w:noWrap/>
          </w:tcPr>
          <w:p w14:paraId="2E9597C3"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29,457.0</w:t>
            </w:r>
          </w:p>
        </w:tc>
      </w:tr>
      <w:tr w:rsidR="00896338" w:rsidRPr="00054A7A" w14:paraId="36E9C658" w14:textId="77777777">
        <w:trPr>
          <w:trHeight w:val="20"/>
          <w:jc w:val="center"/>
        </w:trPr>
        <w:tc>
          <w:tcPr>
            <w:tcW w:w="4107" w:type="dxa"/>
            <w:tcBorders>
              <w:top w:val="single" w:sz="4" w:space="0" w:color="auto"/>
              <w:left w:val="single" w:sz="4" w:space="0" w:color="auto"/>
              <w:bottom w:val="single" w:sz="4" w:space="0" w:color="auto"/>
              <w:right w:val="single" w:sz="4" w:space="0" w:color="auto"/>
            </w:tcBorders>
            <w:shd w:val="clear" w:color="auto" w:fill="auto"/>
            <w:vAlign w:val="center"/>
          </w:tcPr>
          <w:p w14:paraId="64F5DEC9" w14:textId="77777777" w:rsidR="00896338" w:rsidRPr="007D1689" w:rsidRDefault="00896338" w:rsidP="001271F2">
            <w:pPr>
              <w:pStyle w:val="Texto"/>
              <w:spacing w:before="40" w:after="40" w:line="224" w:lineRule="exact"/>
              <w:ind w:left="288" w:firstLine="0"/>
              <w:rPr>
                <w:b/>
                <w:bCs/>
                <w:sz w:val="13"/>
                <w:szCs w:val="13"/>
                <w:lang w:eastAsia="es-MX"/>
              </w:rPr>
            </w:pPr>
            <w:r w:rsidRPr="007D1689">
              <w:rPr>
                <w:b/>
                <w:bCs/>
                <w:sz w:val="13"/>
                <w:szCs w:val="13"/>
                <w:lang w:eastAsia="es-MX"/>
              </w:rPr>
              <w:t>Otros 3_/</w:t>
            </w:r>
          </w:p>
        </w:tc>
        <w:tc>
          <w:tcPr>
            <w:tcW w:w="1094" w:type="dxa"/>
            <w:tcBorders>
              <w:top w:val="single" w:sz="4" w:space="0" w:color="auto"/>
              <w:left w:val="nil"/>
              <w:bottom w:val="single" w:sz="4" w:space="0" w:color="auto"/>
              <w:right w:val="single" w:sz="4" w:space="0" w:color="auto"/>
            </w:tcBorders>
            <w:shd w:val="clear" w:color="auto" w:fill="auto"/>
            <w:noWrap/>
          </w:tcPr>
          <w:p w14:paraId="4770BB42"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1,519.4</w:t>
            </w:r>
          </w:p>
        </w:tc>
        <w:tc>
          <w:tcPr>
            <w:tcW w:w="1125" w:type="dxa"/>
            <w:tcBorders>
              <w:top w:val="single" w:sz="4" w:space="0" w:color="auto"/>
              <w:left w:val="nil"/>
              <w:bottom w:val="single" w:sz="4" w:space="0" w:color="auto"/>
              <w:right w:val="single" w:sz="4" w:space="0" w:color="auto"/>
            </w:tcBorders>
            <w:shd w:val="clear" w:color="auto" w:fill="auto"/>
            <w:noWrap/>
          </w:tcPr>
          <w:p w14:paraId="4ACC9E94"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800.8</w:t>
            </w:r>
          </w:p>
        </w:tc>
        <w:tc>
          <w:tcPr>
            <w:tcW w:w="1147" w:type="dxa"/>
            <w:tcBorders>
              <w:top w:val="single" w:sz="4" w:space="0" w:color="auto"/>
              <w:left w:val="nil"/>
              <w:bottom w:val="single" w:sz="4" w:space="0" w:color="auto"/>
              <w:right w:val="single" w:sz="4" w:space="0" w:color="auto"/>
            </w:tcBorders>
            <w:shd w:val="clear" w:color="auto" w:fill="auto"/>
            <w:noWrap/>
          </w:tcPr>
          <w:p w14:paraId="26EC782C"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733.0</w:t>
            </w:r>
          </w:p>
        </w:tc>
        <w:tc>
          <w:tcPr>
            <w:tcW w:w="1117" w:type="dxa"/>
            <w:tcBorders>
              <w:top w:val="single" w:sz="4" w:space="0" w:color="auto"/>
              <w:left w:val="nil"/>
              <w:bottom w:val="single" w:sz="4" w:space="0" w:color="auto"/>
              <w:right w:val="single" w:sz="4" w:space="0" w:color="auto"/>
            </w:tcBorders>
            <w:shd w:val="clear" w:color="auto" w:fill="auto"/>
            <w:noWrap/>
          </w:tcPr>
          <w:p w14:paraId="58CAF2BF"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823.3</w:t>
            </w:r>
          </w:p>
        </w:tc>
        <w:tc>
          <w:tcPr>
            <w:tcW w:w="1087" w:type="dxa"/>
            <w:tcBorders>
              <w:top w:val="single" w:sz="4" w:space="0" w:color="auto"/>
              <w:left w:val="nil"/>
              <w:bottom w:val="single" w:sz="4" w:space="0" w:color="auto"/>
              <w:right w:val="single" w:sz="4" w:space="0" w:color="auto"/>
            </w:tcBorders>
            <w:shd w:val="clear" w:color="auto" w:fill="auto"/>
            <w:noWrap/>
          </w:tcPr>
          <w:p w14:paraId="7CCF5D27"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716.3</w:t>
            </w:r>
          </w:p>
        </w:tc>
        <w:tc>
          <w:tcPr>
            <w:tcW w:w="1104" w:type="dxa"/>
            <w:tcBorders>
              <w:top w:val="single" w:sz="4" w:space="0" w:color="auto"/>
              <w:left w:val="nil"/>
              <w:bottom w:val="single" w:sz="4" w:space="0" w:color="auto"/>
              <w:right w:val="single" w:sz="4" w:space="0" w:color="auto"/>
            </w:tcBorders>
            <w:shd w:val="clear" w:color="auto" w:fill="auto"/>
            <w:noWrap/>
          </w:tcPr>
          <w:p w14:paraId="3A35A438"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640.5</w:t>
            </w:r>
          </w:p>
        </w:tc>
      </w:tr>
      <w:tr w:rsidR="00896338" w:rsidRPr="00054A7A" w14:paraId="7DBD1820" w14:textId="77777777">
        <w:trPr>
          <w:trHeight w:val="20"/>
          <w:jc w:val="center"/>
        </w:trPr>
        <w:tc>
          <w:tcPr>
            <w:tcW w:w="4107" w:type="dxa"/>
            <w:tcBorders>
              <w:top w:val="nil"/>
              <w:left w:val="single" w:sz="4" w:space="0" w:color="auto"/>
              <w:bottom w:val="single" w:sz="4" w:space="0" w:color="auto"/>
              <w:right w:val="single" w:sz="4" w:space="0" w:color="auto"/>
            </w:tcBorders>
            <w:shd w:val="clear" w:color="auto" w:fill="auto"/>
            <w:vAlign w:val="center"/>
          </w:tcPr>
          <w:p w14:paraId="416AFB2E" w14:textId="77777777" w:rsidR="00896338" w:rsidRPr="007D1689" w:rsidRDefault="00896338" w:rsidP="001271F2">
            <w:pPr>
              <w:pStyle w:val="Texto"/>
              <w:spacing w:before="40" w:after="40" w:line="224" w:lineRule="exact"/>
              <w:ind w:left="144" w:firstLine="0"/>
              <w:rPr>
                <w:b/>
                <w:bCs/>
                <w:sz w:val="13"/>
                <w:szCs w:val="13"/>
                <w:lang w:eastAsia="es-MX"/>
              </w:rPr>
            </w:pPr>
            <w:r w:rsidRPr="007D1689">
              <w:rPr>
                <w:b/>
                <w:bCs/>
                <w:sz w:val="13"/>
                <w:szCs w:val="13"/>
                <w:lang w:eastAsia="es-MX"/>
              </w:rPr>
              <w:lastRenderedPageBreak/>
              <w:t>Ingresos de Organismos y Empresas</w:t>
            </w:r>
          </w:p>
        </w:tc>
        <w:tc>
          <w:tcPr>
            <w:tcW w:w="1094" w:type="dxa"/>
            <w:tcBorders>
              <w:top w:val="nil"/>
              <w:left w:val="nil"/>
              <w:bottom w:val="single" w:sz="4" w:space="0" w:color="auto"/>
              <w:right w:val="single" w:sz="4" w:space="0" w:color="auto"/>
            </w:tcBorders>
            <w:shd w:val="clear" w:color="auto" w:fill="auto"/>
            <w:noWrap/>
          </w:tcPr>
          <w:p w14:paraId="4032EC0D"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125,240.9</w:t>
            </w:r>
          </w:p>
        </w:tc>
        <w:tc>
          <w:tcPr>
            <w:tcW w:w="1125" w:type="dxa"/>
            <w:tcBorders>
              <w:top w:val="nil"/>
              <w:left w:val="nil"/>
              <w:bottom w:val="single" w:sz="4" w:space="0" w:color="auto"/>
              <w:right w:val="single" w:sz="4" w:space="0" w:color="auto"/>
            </w:tcBorders>
            <w:shd w:val="clear" w:color="auto" w:fill="auto"/>
            <w:noWrap/>
          </w:tcPr>
          <w:p w14:paraId="7C968E7A"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115,697.3</w:t>
            </w:r>
          </w:p>
        </w:tc>
        <w:tc>
          <w:tcPr>
            <w:tcW w:w="1147" w:type="dxa"/>
            <w:tcBorders>
              <w:top w:val="nil"/>
              <w:left w:val="nil"/>
              <w:bottom w:val="single" w:sz="4" w:space="0" w:color="auto"/>
              <w:right w:val="single" w:sz="4" w:space="0" w:color="auto"/>
            </w:tcBorders>
            <w:shd w:val="clear" w:color="auto" w:fill="auto"/>
            <w:noWrap/>
          </w:tcPr>
          <w:p w14:paraId="36E4E3C5"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123,299.5</w:t>
            </w:r>
          </w:p>
        </w:tc>
        <w:tc>
          <w:tcPr>
            <w:tcW w:w="1117" w:type="dxa"/>
            <w:tcBorders>
              <w:top w:val="nil"/>
              <w:left w:val="nil"/>
              <w:bottom w:val="single" w:sz="4" w:space="0" w:color="auto"/>
              <w:right w:val="single" w:sz="4" w:space="0" w:color="auto"/>
            </w:tcBorders>
            <w:shd w:val="clear" w:color="auto" w:fill="auto"/>
            <w:noWrap/>
          </w:tcPr>
          <w:p w14:paraId="0602C361"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123,034.0</w:t>
            </w:r>
          </w:p>
        </w:tc>
        <w:tc>
          <w:tcPr>
            <w:tcW w:w="1087" w:type="dxa"/>
            <w:tcBorders>
              <w:top w:val="nil"/>
              <w:left w:val="nil"/>
              <w:bottom w:val="single" w:sz="4" w:space="0" w:color="auto"/>
              <w:right w:val="single" w:sz="4" w:space="0" w:color="auto"/>
            </w:tcBorders>
            <w:shd w:val="clear" w:color="auto" w:fill="auto"/>
            <w:noWrap/>
          </w:tcPr>
          <w:p w14:paraId="330E064E"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120,377.4</w:t>
            </w:r>
          </w:p>
        </w:tc>
        <w:tc>
          <w:tcPr>
            <w:tcW w:w="1104" w:type="dxa"/>
            <w:tcBorders>
              <w:top w:val="nil"/>
              <w:left w:val="nil"/>
              <w:bottom w:val="single" w:sz="4" w:space="0" w:color="auto"/>
              <w:right w:val="single" w:sz="4" w:space="0" w:color="auto"/>
            </w:tcBorders>
            <w:shd w:val="clear" w:color="auto" w:fill="auto"/>
            <w:noWrap/>
          </w:tcPr>
          <w:p w14:paraId="3C149C4D"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117,885.9</w:t>
            </w:r>
          </w:p>
        </w:tc>
      </w:tr>
      <w:tr w:rsidR="00896338" w:rsidRPr="00054A7A" w14:paraId="41F599F3" w14:textId="77777777">
        <w:trPr>
          <w:trHeight w:val="20"/>
          <w:jc w:val="center"/>
        </w:trPr>
        <w:tc>
          <w:tcPr>
            <w:tcW w:w="4107" w:type="dxa"/>
            <w:tcBorders>
              <w:top w:val="single" w:sz="4" w:space="0" w:color="auto"/>
              <w:left w:val="single" w:sz="4" w:space="0" w:color="auto"/>
              <w:bottom w:val="single" w:sz="4" w:space="0" w:color="auto"/>
              <w:right w:val="single" w:sz="4" w:space="0" w:color="auto"/>
            </w:tcBorders>
            <w:shd w:val="clear" w:color="auto" w:fill="auto"/>
            <w:vAlign w:val="center"/>
          </w:tcPr>
          <w:p w14:paraId="5A5381E1" w14:textId="77777777" w:rsidR="00896338" w:rsidRPr="007D1689" w:rsidRDefault="00896338" w:rsidP="001271F2">
            <w:pPr>
              <w:pStyle w:val="Texto"/>
              <w:spacing w:before="40" w:after="40" w:line="224" w:lineRule="exact"/>
              <w:ind w:left="288" w:firstLine="0"/>
              <w:rPr>
                <w:b/>
                <w:bCs/>
                <w:sz w:val="13"/>
                <w:szCs w:val="13"/>
                <w:lang w:eastAsia="es-MX"/>
              </w:rPr>
            </w:pPr>
            <w:r w:rsidRPr="007D1689">
              <w:rPr>
                <w:b/>
                <w:bCs/>
                <w:sz w:val="13"/>
                <w:szCs w:val="13"/>
                <w:lang w:eastAsia="es-MX"/>
              </w:rPr>
              <w:t>Ingresos Propios de Organismos y</w:t>
            </w:r>
            <w:r w:rsidR="00054A7A" w:rsidRPr="007D1689">
              <w:rPr>
                <w:b/>
                <w:bCs/>
                <w:sz w:val="13"/>
                <w:szCs w:val="13"/>
                <w:lang w:eastAsia="es-MX"/>
              </w:rPr>
              <w:t xml:space="preserve"> </w:t>
            </w:r>
            <w:r w:rsidRPr="007D1689">
              <w:rPr>
                <w:b/>
                <w:bCs/>
                <w:sz w:val="13"/>
                <w:szCs w:val="13"/>
                <w:lang w:eastAsia="es-MX"/>
              </w:rPr>
              <w:t>Empresas</w:t>
            </w:r>
          </w:p>
        </w:tc>
        <w:tc>
          <w:tcPr>
            <w:tcW w:w="1094" w:type="dxa"/>
            <w:tcBorders>
              <w:top w:val="single" w:sz="4" w:space="0" w:color="auto"/>
              <w:left w:val="nil"/>
              <w:bottom w:val="single" w:sz="4" w:space="0" w:color="auto"/>
              <w:right w:val="single" w:sz="4" w:space="0" w:color="auto"/>
            </w:tcBorders>
            <w:shd w:val="clear" w:color="auto" w:fill="auto"/>
            <w:noWrap/>
          </w:tcPr>
          <w:p w14:paraId="50AA7120"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94,027.5</w:t>
            </w:r>
          </w:p>
        </w:tc>
        <w:tc>
          <w:tcPr>
            <w:tcW w:w="1125" w:type="dxa"/>
            <w:tcBorders>
              <w:top w:val="single" w:sz="4" w:space="0" w:color="auto"/>
              <w:left w:val="nil"/>
              <w:bottom w:val="single" w:sz="4" w:space="0" w:color="auto"/>
              <w:right w:val="single" w:sz="4" w:space="0" w:color="auto"/>
            </w:tcBorders>
            <w:shd w:val="clear" w:color="auto" w:fill="auto"/>
            <w:noWrap/>
          </w:tcPr>
          <w:p w14:paraId="35C2B10B"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84,311.9</w:t>
            </w:r>
          </w:p>
        </w:tc>
        <w:tc>
          <w:tcPr>
            <w:tcW w:w="1147" w:type="dxa"/>
            <w:tcBorders>
              <w:top w:val="single" w:sz="4" w:space="0" w:color="auto"/>
              <w:left w:val="nil"/>
              <w:bottom w:val="single" w:sz="4" w:space="0" w:color="auto"/>
              <w:right w:val="single" w:sz="4" w:space="0" w:color="auto"/>
            </w:tcBorders>
            <w:shd w:val="clear" w:color="auto" w:fill="auto"/>
            <w:noWrap/>
          </w:tcPr>
          <w:p w14:paraId="090EB35D"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93,879.3</w:t>
            </w:r>
          </w:p>
        </w:tc>
        <w:tc>
          <w:tcPr>
            <w:tcW w:w="1117" w:type="dxa"/>
            <w:tcBorders>
              <w:top w:val="single" w:sz="4" w:space="0" w:color="auto"/>
              <w:left w:val="nil"/>
              <w:bottom w:val="single" w:sz="4" w:space="0" w:color="auto"/>
              <w:right w:val="single" w:sz="4" w:space="0" w:color="auto"/>
            </w:tcBorders>
            <w:shd w:val="clear" w:color="auto" w:fill="auto"/>
            <w:noWrap/>
          </w:tcPr>
          <w:p w14:paraId="1403AB63"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91,234.2</w:t>
            </w:r>
          </w:p>
        </w:tc>
        <w:tc>
          <w:tcPr>
            <w:tcW w:w="1087" w:type="dxa"/>
            <w:tcBorders>
              <w:top w:val="single" w:sz="4" w:space="0" w:color="auto"/>
              <w:left w:val="nil"/>
              <w:bottom w:val="single" w:sz="4" w:space="0" w:color="auto"/>
              <w:right w:val="single" w:sz="4" w:space="0" w:color="auto"/>
            </w:tcBorders>
            <w:shd w:val="clear" w:color="auto" w:fill="auto"/>
            <w:noWrap/>
          </w:tcPr>
          <w:p w14:paraId="6BD2BC12"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88,760.5</w:t>
            </w:r>
          </w:p>
        </w:tc>
        <w:tc>
          <w:tcPr>
            <w:tcW w:w="1104" w:type="dxa"/>
            <w:tcBorders>
              <w:top w:val="single" w:sz="4" w:space="0" w:color="auto"/>
              <w:left w:val="nil"/>
              <w:bottom w:val="single" w:sz="4" w:space="0" w:color="auto"/>
              <w:right w:val="single" w:sz="4" w:space="0" w:color="auto"/>
            </w:tcBorders>
            <w:shd w:val="clear" w:color="auto" w:fill="auto"/>
            <w:noWrap/>
          </w:tcPr>
          <w:p w14:paraId="0E85E6D8"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85,903.1</w:t>
            </w:r>
          </w:p>
        </w:tc>
      </w:tr>
      <w:tr w:rsidR="00896338" w:rsidRPr="00054A7A" w14:paraId="7492BBCA" w14:textId="77777777">
        <w:trPr>
          <w:trHeight w:val="20"/>
          <w:jc w:val="center"/>
        </w:trPr>
        <w:tc>
          <w:tcPr>
            <w:tcW w:w="4107" w:type="dxa"/>
            <w:tcBorders>
              <w:top w:val="single" w:sz="4" w:space="0" w:color="auto"/>
              <w:left w:val="single" w:sz="4" w:space="0" w:color="auto"/>
              <w:bottom w:val="single" w:sz="4" w:space="0" w:color="auto"/>
              <w:right w:val="single" w:sz="4" w:space="0" w:color="auto"/>
            </w:tcBorders>
            <w:shd w:val="clear" w:color="auto" w:fill="auto"/>
            <w:vAlign w:val="center"/>
          </w:tcPr>
          <w:p w14:paraId="061FE2F0" w14:textId="77777777" w:rsidR="00896338" w:rsidRPr="007D1689" w:rsidRDefault="00896338" w:rsidP="001271F2">
            <w:pPr>
              <w:pStyle w:val="Texto"/>
              <w:spacing w:before="40" w:after="40" w:line="224" w:lineRule="exact"/>
              <w:ind w:left="432" w:firstLine="0"/>
              <w:rPr>
                <w:sz w:val="13"/>
                <w:szCs w:val="13"/>
                <w:lang w:eastAsia="es-MX"/>
              </w:rPr>
            </w:pPr>
            <w:r w:rsidRPr="007D1689">
              <w:rPr>
                <w:sz w:val="13"/>
                <w:szCs w:val="13"/>
                <w:lang w:eastAsia="es-MX"/>
              </w:rPr>
              <w:t>Petróleos Mexicanos</w:t>
            </w:r>
          </w:p>
        </w:tc>
        <w:tc>
          <w:tcPr>
            <w:tcW w:w="1094" w:type="dxa"/>
            <w:tcBorders>
              <w:top w:val="single" w:sz="4" w:space="0" w:color="auto"/>
              <w:left w:val="nil"/>
              <w:bottom w:val="single" w:sz="4" w:space="0" w:color="auto"/>
              <w:right w:val="single" w:sz="4" w:space="0" w:color="auto"/>
            </w:tcBorders>
            <w:shd w:val="clear" w:color="auto" w:fill="auto"/>
            <w:noWrap/>
          </w:tcPr>
          <w:p w14:paraId="1051B4A2"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59,491.2</w:t>
            </w:r>
          </w:p>
        </w:tc>
        <w:tc>
          <w:tcPr>
            <w:tcW w:w="1125" w:type="dxa"/>
            <w:tcBorders>
              <w:top w:val="single" w:sz="4" w:space="0" w:color="auto"/>
              <w:left w:val="nil"/>
              <w:bottom w:val="single" w:sz="4" w:space="0" w:color="auto"/>
              <w:right w:val="single" w:sz="4" w:space="0" w:color="auto"/>
            </w:tcBorders>
            <w:shd w:val="clear" w:color="auto" w:fill="auto"/>
            <w:noWrap/>
          </w:tcPr>
          <w:p w14:paraId="298B5B1B"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46,945.3</w:t>
            </w:r>
          </w:p>
        </w:tc>
        <w:tc>
          <w:tcPr>
            <w:tcW w:w="1147" w:type="dxa"/>
            <w:tcBorders>
              <w:top w:val="single" w:sz="4" w:space="0" w:color="auto"/>
              <w:left w:val="nil"/>
              <w:bottom w:val="single" w:sz="4" w:space="0" w:color="auto"/>
              <w:right w:val="single" w:sz="4" w:space="0" w:color="auto"/>
            </w:tcBorders>
            <w:shd w:val="clear" w:color="auto" w:fill="auto"/>
            <w:noWrap/>
          </w:tcPr>
          <w:p w14:paraId="6232F3BF"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57,903.8</w:t>
            </w:r>
          </w:p>
        </w:tc>
        <w:tc>
          <w:tcPr>
            <w:tcW w:w="1117" w:type="dxa"/>
            <w:tcBorders>
              <w:top w:val="single" w:sz="4" w:space="0" w:color="auto"/>
              <w:left w:val="nil"/>
              <w:bottom w:val="single" w:sz="4" w:space="0" w:color="auto"/>
              <w:right w:val="single" w:sz="4" w:space="0" w:color="auto"/>
            </w:tcBorders>
            <w:shd w:val="clear" w:color="auto" w:fill="auto"/>
            <w:noWrap/>
          </w:tcPr>
          <w:p w14:paraId="57BDD787"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51,931.4</w:t>
            </w:r>
          </w:p>
        </w:tc>
        <w:tc>
          <w:tcPr>
            <w:tcW w:w="1087" w:type="dxa"/>
            <w:tcBorders>
              <w:top w:val="single" w:sz="4" w:space="0" w:color="auto"/>
              <w:left w:val="nil"/>
              <w:bottom w:val="single" w:sz="4" w:space="0" w:color="auto"/>
              <w:right w:val="single" w:sz="4" w:space="0" w:color="auto"/>
            </w:tcBorders>
            <w:shd w:val="clear" w:color="auto" w:fill="auto"/>
            <w:noWrap/>
          </w:tcPr>
          <w:p w14:paraId="29023A86"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54,704.5</w:t>
            </w:r>
          </w:p>
        </w:tc>
        <w:tc>
          <w:tcPr>
            <w:tcW w:w="1104" w:type="dxa"/>
            <w:tcBorders>
              <w:top w:val="single" w:sz="4" w:space="0" w:color="auto"/>
              <w:left w:val="nil"/>
              <w:bottom w:val="single" w:sz="4" w:space="0" w:color="auto"/>
              <w:right w:val="single" w:sz="4" w:space="0" w:color="auto"/>
            </w:tcBorders>
            <w:shd w:val="clear" w:color="auto" w:fill="auto"/>
            <w:noWrap/>
          </w:tcPr>
          <w:p w14:paraId="558BF068"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40,506.5</w:t>
            </w:r>
          </w:p>
        </w:tc>
      </w:tr>
      <w:tr w:rsidR="00896338" w:rsidRPr="00054A7A" w14:paraId="72D153B6" w14:textId="77777777">
        <w:trPr>
          <w:trHeight w:val="20"/>
          <w:jc w:val="center"/>
        </w:trPr>
        <w:tc>
          <w:tcPr>
            <w:tcW w:w="4107" w:type="dxa"/>
            <w:tcBorders>
              <w:top w:val="nil"/>
              <w:left w:val="single" w:sz="4" w:space="0" w:color="auto"/>
              <w:bottom w:val="nil"/>
              <w:right w:val="single" w:sz="4" w:space="0" w:color="auto"/>
            </w:tcBorders>
            <w:shd w:val="clear" w:color="auto" w:fill="auto"/>
            <w:vAlign w:val="center"/>
          </w:tcPr>
          <w:p w14:paraId="3C3B37CF" w14:textId="77777777" w:rsidR="00896338" w:rsidRPr="007D1689" w:rsidRDefault="00896338" w:rsidP="001271F2">
            <w:pPr>
              <w:pStyle w:val="Texto"/>
              <w:spacing w:before="40" w:after="40" w:line="224" w:lineRule="exact"/>
              <w:ind w:left="432" w:firstLine="0"/>
              <w:rPr>
                <w:sz w:val="13"/>
                <w:szCs w:val="13"/>
                <w:lang w:eastAsia="es-MX"/>
              </w:rPr>
            </w:pPr>
            <w:r w:rsidRPr="007D1689">
              <w:rPr>
                <w:sz w:val="13"/>
                <w:szCs w:val="13"/>
                <w:lang w:eastAsia="es-MX"/>
              </w:rPr>
              <w:t>Comisión Federal de Electricidad</w:t>
            </w:r>
          </w:p>
        </w:tc>
        <w:tc>
          <w:tcPr>
            <w:tcW w:w="1094" w:type="dxa"/>
            <w:tcBorders>
              <w:top w:val="nil"/>
              <w:left w:val="nil"/>
              <w:bottom w:val="single" w:sz="4" w:space="0" w:color="auto"/>
              <w:right w:val="single" w:sz="4" w:space="0" w:color="auto"/>
            </w:tcBorders>
            <w:shd w:val="clear" w:color="auto" w:fill="auto"/>
            <w:noWrap/>
          </w:tcPr>
          <w:p w14:paraId="46D8CAC1"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30,700.0</w:t>
            </w:r>
          </w:p>
        </w:tc>
        <w:tc>
          <w:tcPr>
            <w:tcW w:w="1125" w:type="dxa"/>
            <w:tcBorders>
              <w:top w:val="nil"/>
              <w:left w:val="nil"/>
              <w:bottom w:val="single" w:sz="4" w:space="0" w:color="auto"/>
              <w:right w:val="single" w:sz="4" w:space="0" w:color="auto"/>
            </w:tcBorders>
            <w:shd w:val="clear" w:color="auto" w:fill="auto"/>
            <w:noWrap/>
          </w:tcPr>
          <w:p w14:paraId="05E71DB1"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31,965.4</w:t>
            </w:r>
          </w:p>
        </w:tc>
        <w:tc>
          <w:tcPr>
            <w:tcW w:w="1147" w:type="dxa"/>
            <w:tcBorders>
              <w:top w:val="nil"/>
              <w:left w:val="nil"/>
              <w:bottom w:val="single" w:sz="4" w:space="0" w:color="auto"/>
              <w:right w:val="single" w:sz="4" w:space="0" w:color="auto"/>
            </w:tcBorders>
            <w:shd w:val="clear" w:color="auto" w:fill="auto"/>
            <w:noWrap/>
          </w:tcPr>
          <w:p w14:paraId="0E6ABF09"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31,672.1</w:t>
            </w:r>
          </w:p>
        </w:tc>
        <w:tc>
          <w:tcPr>
            <w:tcW w:w="1117" w:type="dxa"/>
            <w:tcBorders>
              <w:top w:val="nil"/>
              <w:left w:val="nil"/>
              <w:bottom w:val="single" w:sz="4" w:space="0" w:color="auto"/>
              <w:right w:val="single" w:sz="4" w:space="0" w:color="auto"/>
            </w:tcBorders>
            <w:shd w:val="clear" w:color="auto" w:fill="auto"/>
            <w:noWrap/>
          </w:tcPr>
          <w:p w14:paraId="302F646F"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32,907.9</w:t>
            </w:r>
          </w:p>
        </w:tc>
        <w:tc>
          <w:tcPr>
            <w:tcW w:w="1087" w:type="dxa"/>
            <w:tcBorders>
              <w:top w:val="nil"/>
              <w:left w:val="nil"/>
              <w:bottom w:val="single" w:sz="4" w:space="0" w:color="auto"/>
              <w:right w:val="single" w:sz="4" w:space="0" w:color="auto"/>
            </w:tcBorders>
            <w:shd w:val="clear" w:color="auto" w:fill="auto"/>
            <w:noWrap/>
          </w:tcPr>
          <w:p w14:paraId="252CB797"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29,073.5</w:t>
            </w:r>
          </w:p>
        </w:tc>
        <w:tc>
          <w:tcPr>
            <w:tcW w:w="1104" w:type="dxa"/>
            <w:tcBorders>
              <w:top w:val="nil"/>
              <w:left w:val="nil"/>
              <w:bottom w:val="single" w:sz="4" w:space="0" w:color="auto"/>
              <w:right w:val="single" w:sz="4" w:space="0" w:color="auto"/>
            </w:tcBorders>
            <w:shd w:val="clear" w:color="auto" w:fill="auto"/>
            <w:noWrap/>
          </w:tcPr>
          <w:p w14:paraId="3F8BD759"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35,412.9</w:t>
            </w:r>
          </w:p>
        </w:tc>
      </w:tr>
      <w:tr w:rsidR="00896338" w:rsidRPr="00054A7A" w14:paraId="0AC2800D" w14:textId="77777777">
        <w:trPr>
          <w:trHeight w:val="20"/>
          <w:jc w:val="center"/>
        </w:trPr>
        <w:tc>
          <w:tcPr>
            <w:tcW w:w="4107" w:type="dxa"/>
            <w:tcBorders>
              <w:top w:val="single" w:sz="4" w:space="0" w:color="auto"/>
              <w:left w:val="single" w:sz="4" w:space="0" w:color="auto"/>
              <w:right w:val="single" w:sz="4" w:space="0" w:color="auto"/>
            </w:tcBorders>
            <w:shd w:val="clear" w:color="auto" w:fill="auto"/>
            <w:vAlign w:val="center"/>
          </w:tcPr>
          <w:p w14:paraId="638559E9" w14:textId="77777777" w:rsidR="00896338" w:rsidRPr="007D1689" w:rsidRDefault="00896338" w:rsidP="001271F2">
            <w:pPr>
              <w:pStyle w:val="Texto"/>
              <w:spacing w:before="40" w:after="40" w:line="224" w:lineRule="exact"/>
              <w:ind w:left="432" w:firstLine="0"/>
              <w:rPr>
                <w:sz w:val="13"/>
                <w:szCs w:val="13"/>
                <w:lang w:eastAsia="es-MX"/>
              </w:rPr>
            </w:pPr>
            <w:r w:rsidRPr="007D1689">
              <w:rPr>
                <w:sz w:val="13"/>
                <w:szCs w:val="13"/>
                <w:lang w:eastAsia="es-MX"/>
              </w:rPr>
              <w:t>Instituto Mexicano del Seguro Social</w:t>
            </w:r>
          </w:p>
        </w:tc>
        <w:tc>
          <w:tcPr>
            <w:tcW w:w="1094" w:type="dxa"/>
            <w:tcBorders>
              <w:top w:val="nil"/>
              <w:left w:val="nil"/>
              <w:right w:val="single" w:sz="4" w:space="0" w:color="auto"/>
            </w:tcBorders>
            <w:shd w:val="clear" w:color="auto" w:fill="auto"/>
            <w:noWrap/>
          </w:tcPr>
          <w:p w14:paraId="0DD735F6"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1,178.2</w:t>
            </w:r>
          </w:p>
        </w:tc>
        <w:tc>
          <w:tcPr>
            <w:tcW w:w="1125" w:type="dxa"/>
            <w:tcBorders>
              <w:top w:val="nil"/>
              <w:left w:val="nil"/>
              <w:right w:val="single" w:sz="4" w:space="0" w:color="auto"/>
            </w:tcBorders>
            <w:shd w:val="clear" w:color="auto" w:fill="auto"/>
            <w:noWrap/>
          </w:tcPr>
          <w:p w14:paraId="143DCA94"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1,087.9</w:t>
            </w:r>
          </w:p>
        </w:tc>
        <w:tc>
          <w:tcPr>
            <w:tcW w:w="1147" w:type="dxa"/>
            <w:tcBorders>
              <w:top w:val="nil"/>
              <w:left w:val="nil"/>
              <w:right w:val="single" w:sz="4" w:space="0" w:color="auto"/>
            </w:tcBorders>
            <w:shd w:val="clear" w:color="auto" w:fill="auto"/>
            <w:noWrap/>
          </w:tcPr>
          <w:p w14:paraId="219149B0"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1,467.6</w:t>
            </w:r>
          </w:p>
        </w:tc>
        <w:tc>
          <w:tcPr>
            <w:tcW w:w="1117" w:type="dxa"/>
            <w:tcBorders>
              <w:top w:val="nil"/>
              <w:left w:val="nil"/>
              <w:right w:val="single" w:sz="4" w:space="0" w:color="auto"/>
            </w:tcBorders>
            <w:shd w:val="clear" w:color="auto" w:fill="auto"/>
            <w:noWrap/>
          </w:tcPr>
          <w:p w14:paraId="5DC4A812"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1,946.8</w:t>
            </w:r>
          </w:p>
        </w:tc>
        <w:tc>
          <w:tcPr>
            <w:tcW w:w="1087" w:type="dxa"/>
            <w:tcBorders>
              <w:top w:val="nil"/>
              <w:left w:val="nil"/>
              <w:right w:val="single" w:sz="4" w:space="0" w:color="auto"/>
            </w:tcBorders>
            <w:shd w:val="clear" w:color="auto" w:fill="auto"/>
            <w:noWrap/>
          </w:tcPr>
          <w:p w14:paraId="5C70B126"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1,237.8</w:t>
            </w:r>
          </w:p>
        </w:tc>
        <w:tc>
          <w:tcPr>
            <w:tcW w:w="1104" w:type="dxa"/>
            <w:tcBorders>
              <w:top w:val="nil"/>
              <w:left w:val="nil"/>
              <w:right w:val="single" w:sz="4" w:space="0" w:color="auto"/>
            </w:tcBorders>
            <w:shd w:val="clear" w:color="auto" w:fill="auto"/>
            <w:noWrap/>
          </w:tcPr>
          <w:p w14:paraId="6A48ED3F"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4,585.6</w:t>
            </w:r>
          </w:p>
        </w:tc>
      </w:tr>
      <w:tr w:rsidR="00896338" w:rsidRPr="00054A7A" w14:paraId="61489BED" w14:textId="77777777">
        <w:trPr>
          <w:trHeight w:val="20"/>
          <w:jc w:val="center"/>
        </w:trPr>
        <w:tc>
          <w:tcPr>
            <w:tcW w:w="4107" w:type="dxa"/>
            <w:tcBorders>
              <w:top w:val="single" w:sz="4" w:space="0" w:color="auto"/>
              <w:left w:val="single" w:sz="4" w:space="0" w:color="auto"/>
              <w:bottom w:val="single" w:sz="4" w:space="0" w:color="auto"/>
              <w:right w:val="single" w:sz="4" w:space="0" w:color="auto"/>
            </w:tcBorders>
            <w:shd w:val="clear" w:color="auto" w:fill="auto"/>
            <w:vAlign w:val="center"/>
          </w:tcPr>
          <w:p w14:paraId="62B7375B" w14:textId="77777777" w:rsidR="00896338" w:rsidRPr="007D1689" w:rsidRDefault="00896338" w:rsidP="001271F2">
            <w:pPr>
              <w:pStyle w:val="Texto"/>
              <w:spacing w:before="40" w:after="40" w:line="224" w:lineRule="exact"/>
              <w:ind w:left="432" w:firstLine="0"/>
              <w:rPr>
                <w:sz w:val="13"/>
                <w:szCs w:val="13"/>
                <w:lang w:eastAsia="es-MX"/>
              </w:rPr>
            </w:pPr>
            <w:r w:rsidRPr="007D1689">
              <w:rPr>
                <w:sz w:val="13"/>
                <w:szCs w:val="13"/>
                <w:lang w:eastAsia="es-MX"/>
              </w:rPr>
              <w:t>Instituto de Seguridad y Servicios Sociales de los Trabajadores del Estado</w:t>
            </w:r>
          </w:p>
        </w:tc>
        <w:tc>
          <w:tcPr>
            <w:tcW w:w="1094" w:type="dxa"/>
            <w:tcBorders>
              <w:top w:val="single" w:sz="4" w:space="0" w:color="auto"/>
              <w:left w:val="nil"/>
              <w:bottom w:val="single" w:sz="4" w:space="0" w:color="auto"/>
              <w:right w:val="single" w:sz="4" w:space="0" w:color="auto"/>
            </w:tcBorders>
            <w:shd w:val="clear" w:color="auto" w:fill="auto"/>
            <w:noWrap/>
          </w:tcPr>
          <w:p w14:paraId="29D38696"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2,658.1</w:t>
            </w:r>
          </w:p>
        </w:tc>
        <w:tc>
          <w:tcPr>
            <w:tcW w:w="1125" w:type="dxa"/>
            <w:tcBorders>
              <w:top w:val="single" w:sz="4" w:space="0" w:color="auto"/>
              <w:left w:val="nil"/>
              <w:bottom w:val="single" w:sz="4" w:space="0" w:color="auto"/>
              <w:right w:val="single" w:sz="4" w:space="0" w:color="auto"/>
            </w:tcBorders>
            <w:shd w:val="clear" w:color="auto" w:fill="auto"/>
            <w:noWrap/>
          </w:tcPr>
          <w:p w14:paraId="32DEEAE1"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4,313.3</w:t>
            </w:r>
          </w:p>
        </w:tc>
        <w:tc>
          <w:tcPr>
            <w:tcW w:w="1147" w:type="dxa"/>
            <w:tcBorders>
              <w:top w:val="single" w:sz="4" w:space="0" w:color="auto"/>
              <w:left w:val="nil"/>
              <w:bottom w:val="single" w:sz="4" w:space="0" w:color="auto"/>
              <w:right w:val="single" w:sz="4" w:space="0" w:color="auto"/>
            </w:tcBorders>
            <w:shd w:val="clear" w:color="auto" w:fill="auto"/>
            <w:noWrap/>
          </w:tcPr>
          <w:p w14:paraId="2CE59108"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2,835.8</w:t>
            </w:r>
          </w:p>
        </w:tc>
        <w:tc>
          <w:tcPr>
            <w:tcW w:w="1117" w:type="dxa"/>
            <w:tcBorders>
              <w:top w:val="single" w:sz="4" w:space="0" w:color="auto"/>
              <w:left w:val="nil"/>
              <w:bottom w:val="single" w:sz="4" w:space="0" w:color="auto"/>
              <w:right w:val="single" w:sz="4" w:space="0" w:color="auto"/>
            </w:tcBorders>
            <w:shd w:val="clear" w:color="auto" w:fill="auto"/>
            <w:noWrap/>
          </w:tcPr>
          <w:p w14:paraId="7DF9AAD5"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4,448.1</w:t>
            </w:r>
          </w:p>
        </w:tc>
        <w:tc>
          <w:tcPr>
            <w:tcW w:w="1087" w:type="dxa"/>
            <w:tcBorders>
              <w:top w:val="single" w:sz="4" w:space="0" w:color="auto"/>
              <w:left w:val="nil"/>
              <w:bottom w:val="single" w:sz="4" w:space="0" w:color="auto"/>
              <w:right w:val="single" w:sz="4" w:space="0" w:color="auto"/>
            </w:tcBorders>
            <w:shd w:val="clear" w:color="auto" w:fill="auto"/>
            <w:noWrap/>
          </w:tcPr>
          <w:p w14:paraId="6E1B9FCB"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3,744.7</w:t>
            </w:r>
          </w:p>
        </w:tc>
        <w:tc>
          <w:tcPr>
            <w:tcW w:w="1104" w:type="dxa"/>
            <w:tcBorders>
              <w:top w:val="single" w:sz="4" w:space="0" w:color="auto"/>
              <w:left w:val="nil"/>
              <w:bottom w:val="single" w:sz="4" w:space="0" w:color="auto"/>
              <w:right w:val="single" w:sz="4" w:space="0" w:color="auto"/>
            </w:tcBorders>
            <w:shd w:val="clear" w:color="auto" w:fill="auto"/>
            <w:noWrap/>
          </w:tcPr>
          <w:p w14:paraId="34CE16AC"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5,398.1</w:t>
            </w:r>
          </w:p>
        </w:tc>
      </w:tr>
      <w:tr w:rsidR="00896338" w:rsidRPr="00054A7A" w14:paraId="71D6F54B" w14:textId="77777777">
        <w:trPr>
          <w:trHeight w:val="20"/>
          <w:jc w:val="center"/>
        </w:trPr>
        <w:tc>
          <w:tcPr>
            <w:tcW w:w="4107" w:type="dxa"/>
            <w:tcBorders>
              <w:top w:val="single" w:sz="4" w:space="0" w:color="auto"/>
              <w:left w:val="single" w:sz="4" w:space="0" w:color="auto"/>
              <w:bottom w:val="single" w:sz="4" w:space="0" w:color="auto"/>
              <w:right w:val="single" w:sz="4" w:space="0" w:color="auto"/>
            </w:tcBorders>
            <w:shd w:val="clear" w:color="auto" w:fill="auto"/>
            <w:vAlign w:val="center"/>
          </w:tcPr>
          <w:p w14:paraId="3992ABF7" w14:textId="77777777" w:rsidR="00896338" w:rsidRPr="007D1689" w:rsidRDefault="00896338" w:rsidP="001271F2">
            <w:pPr>
              <w:pStyle w:val="Texto"/>
              <w:spacing w:before="40" w:after="40" w:line="224" w:lineRule="exact"/>
              <w:ind w:firstLine="0"/>
              <w:rPr>
                <w:b/>
                <w:bCs/>
                <w:sz w:val="13"/>
                <w:szCs w:val="13"/>
                <w:lang w:eastAsia="es-MX"/>
              </w:rPr>
            </w:pPr>
            <w:r w:rsidRPr="007D1689">
              <w:rPr>
                <w:b/>
                <w:bCs/>
                <w:sz w:val="13"/>
                <w:szCs w:val="13"/>
                <w:lang w:eastAsia="es-MX"/>
              </w:rPr>
              <w:t>Aportaciones de Seguridad Social</w:t>
            </w:r>
          </w:p>
        </w:tc>
        <w:tc>
          <w:tcPr>
            <w:tcW w:w="1094" w:type="dxa"/>
            <w:tcBorders>
              <w:top w:val="single" w:sz="4" w:space="0" w:color="auto"/>
              <w:left w:val="nil"/>
              <w:bottom w:val="single" w:sz="4" w:space="0" w:color="auto"/>
              <w:right w:val="single" w:sz="4" w:space="0" w:color="auto"/>
            </w:tcBorders>
            <w:shd w:val="clear" w:color="auto" w:fill="auto"/>
            <w:noWrap/>
          </w:tcPr>
          <w:p w14:paraId="4ADBE68A"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31,213.4</w:t>
            </w:r>
          </w:p>
        </w:tc>
        <w:tc>
          <w:tcPr>
            <w:tcW w:w="1125" w:type="dxa"/>
            <w:tcBorders>
              <w:top w:val="single" w:sz="4" w:space="0" w:color="auto"/>
              <w:left w:val="nil"/>
              <w:bottom w:val="single" w:sz="4" w:space="0" w:color="auto"/>
              <w:right w:val="single" w:sz="4" w:space="0" w:color="auto"/>
            </w:tcBorders>
            <w:shd w:val="clear" w:color="auto" w:fill="auto"/>
            <w:noWrap/>
          </w:tcPr>
          <w:p w14:paraId="712824BB"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31,385.4</w:t>
            </w:r>
          </w:p>
        </w:tc>
        <w:tc>
          <w:tcPr>
            <w:tcW w:w="1147" w:type="dxa"/>
            <w:tcBorders>
              <w:top w:val="single" w:sz="4" w:space="0" w:color="auto"/>
              <w:left w:val="nil"/>
              <w:bottom w:val="single" w:sz="4" w:space="0" w:color="auto"/>
              <w:right w:val="single" w:sz="4" w:space="0" w:color="auto"/>
            </w:tcBorders>
            <w:shd w:val="clear" w:color="auto" w:fill="auto"/>
            <w:noWrap/>
          </w:tcPr>
          <w:p w14:paraId="2C1609A7"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29,420.2</w:t>
            </w:r>
          </w:p>
        </w:tc>
        <w:tc>
          <w:tcPr>
            <w:tcW w:w="1117" w:type="dxa"/>
            <w:tcBorders>
              <w:top w:val="single" w:sz="4" w:space="0" w:color="auto"/>
              <w:left w:val="nil"/>
              <w:bottom w:val="single" w:sz="4" w:space="0" w:color="auto"/>
              <w:right w:val="single" w:sz="4" w:space="0" w:color="auto"/>
            </w:tcBorders>
            <w:shd w:val="clear" w:color="auto" w:fill="auto"/>
            <w:noWrap/>
          </w:tcPr>
          <w:p w14:paraId="647D1EE9"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31,799.8</w:t>
            </w:r>
          </w:p>
        </w:tc>
        <w:tc>
          <w:tcPr>
            <w:tcW w:w="1087" w:type="dxa"/>
            <w:tcBorders>
              <w:top w:val="single" w:sz="4" w:space="0" w:color="auto"/>
              <w:left w:val="nil"/>
              <w:bottom w:val="single" w:sz="4" w:space="0" w:color="auto"/>
              <w:right w:val="single" w:sz="4" w:space="0" w:color="auto"/>
            </w:tcBorders>
            <w:shd w:val="clear" w:color="auto" w:fill="auto"/>
            <w:noWrap/>
          </w:tcPr>
          <w:p w14:paraId="2F17C948"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31,616.9</w:t>
            </w:r>
          </w:p>
        </w:tc>
        <w:tc>
          <w:tcPr>
            <w:tcW w:w="1104" w:type="dxa"/>
            <w:tcBorders>
              <w:top w:val="single" w:sz="4" w:space="0" w:color="auto"/>
              <w:left w:val="nil"/>
              <w:bottom w:val="single" w:sz="4" w:space="0" w:color="auto"/>
              <w:right w:val="single" w:sz="4" w:space="0" w:color="auto"/>
            </w:tcBorders>
            <w:shd w:val="clear" w:color="auto" w:fill="auto"/>
            <w:noWrap/>
          </w:tcPr>
          <w:p w14:paraId="3E919391" w14:textId="77777777" w:rsidR="00896338" w:rsidRPr="007D1689" w:rsidRDefault="00896338" w:rsidP="001271F2">
            <w:pPr>
              <w:pStyle w:val="Texto"/>
              <w:spacing w:before="40" w:after="40" w:line="224" w:lineRule="exact"/>
              <w:ind w:firstLine="0"/>
              <w:jc w:val="right"/>
              <w:rPr>
                <w:sz w:val="13"/>
                <w:szCs w:val="13"/>
                <w:lang w:eastAsia="es-MX"/>
              </w:rPr>
            </w:pPr>
            <w:r w:rsidRPr="007D1689">
              <w:rPr>
                <w:sz w:val="13"/>
                <w:szCs w:val="13"/>
              </w:rPr>
              <w:t>31,982.8</w:t>
            </w:r>
          </w:p>
        </w:tc>
      </w:tr>
    </w:tbl>
    <w:p w14:paraId="5E8D335C" w14:textId="77777777" w:rsidR="00896338" w:rsidRPr="00896338" w:rsidRDefault="00896338" w:rsidP="00896338">
      <w:pPr>
        <w:pStyle w:val="Texto"/>
        <w:rPr>
          <w:b/>
          <w:caps/>
          <w:szCs w:val="24"/>
          <w:lang w:val="es-MX"/>
        </w:rPr>
      </w:pP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7"/>
        <w:gridCol w:w="780"/>
        <w:gridCol w:w="780"/>
        <w:gridCol w:w="932"/>
        <w:gridCol w:w="780"/>
        <w:gridCol w:w="885"/>
        <w:gridCol w:w="859"/>
        <w:gridCol w:w="1009"/>
      </w:tblGrid>
      <w:tr w:rsidR="00896338" w:rsidRPr="00054A7A" w14:paraId="6FF02437" w14:textId="77777777">
        <w:trPr>
          <w:trHeight w:val="20"/>
          <w:jc w:val="center"/>
        </w:trPr>
        <w:tc>
          <w:tcPr>
            <w:tcW w:w="8712" w:type="dxa"/>
            <w:gridSpan w:val="8"/>
            <w:shd w:val="clear" w:color="auto" w:fill="auto"/>
            <w:noWrap/>
            <w:vAlign w:val="center"/>
          </w:tcPr>
          <w:p w14:paraId="69F826A9" w14:textId="77777777" w:rsidR="00896338" w:rsidRPr="007D1689" w:rsidRDefault="00896338" w:rsidP="007D1689">
            <w:pPr>
              <w:pStyle w:val="Texto"/>
              <w:ind w:firstLine="0"/>
              <w:jc w:val="center"/>
              <w:rPr>
                <w:b/>
                <w:bCs/>
                <w:sz w:val="13"/>
                <w:szCs w:val="13"/>
                <w:lang w:eastAsia="es-MX"/>
              </w:rPr>
            </w:pPr>
            <w:r w:rsidRPr="007D1689">
              <w:rPr>
                <w:b/>
                <w:bCs/>
                <w:sz w:val="13"/>
                <w:szCs w:val="13"/>
                <w:lang w:eastAsia="es-MX"/>
              </w:rPr>
              <w:t>CALENDARIO MENSUAL DEL PRONÓSTICO DE LOS INGRESOS DEL SECTOR PÚBLICO PARA EL AÑO 2021</w:t>
            </w:r>
          </w:p>
        </w:tc>
      </w:tr>
      <w:tr w:rsidR="00896338" w:rsidRPr="00054A7A" w14:paraId="23F45D41" w14:textId="77777777">
        <w:trPr>
          <w:trHeight w:val="20"/>
          <w:jc w:val="center"/>
        </w:trPr>
        <w:tc>
          <w:tcPr>
            <w:tcW w:w="8712" w:type="dxa"/>
            <w:gridSpan w:val="8"/>
            <w:shd w:val="clear" w:color="auto" w:fill="auto"/>
            <w:noWrap/>
            <w:vAlign w:val="center"/>
          </w:tcPr>
          <w:p w14:paraId="6AAA57BA" w14:textId="77777777" w:rsidR="00896338" w:rsidRPr="007D1689" w:rsidRDefault="00896338" w:rsidP="007D1689">
            <w:pPr>
              <w:pStyle w:val="Texto"/>
              <w:ind w:firstLine="0"/>
              <w:jc w:val="center"/>
              <w:rPr>
                <w:b/>
                <w:bCs/>
                <w:sz w:val="13"/>
                <w:szCs w:val="13"/>
                <w:lang w:eastAsia="es-MX"/>
              </w:rPr>
            </w:pPr>
            <w:r w:rsidRPr="007D1689">
              <w:rPr>
                <w:b/>
                <w:bCs/>
                <w:sz w:val="13"/>
                <w:szCs w:val="13"/>
                <w:lang w:eastAsia="es-MX"/>
              </w:rPr>
              <w:t>2a. SECCIÓN</w:t>
            </w:r>
          </w:p>
        </w:tc>
      </w:tr>
      <w:tr w:rsidR="00896338" w:rsidRPr="00054A7A" w14:paraId="4EC8276A" w14:textId="77777777">
        <w:trPr>
          <w:trHeight w:val="20"/>
          <w:jc w:val="center"/>
        </w:trPr>
        <w:tc>
          <w:tcPr>
            <w:tcW w:w="8712" w:type="dxa"/>
            <w:gridSpan w:val="8"/>
            <w:shd w:val="clear" w:color="auto" w:fill="auto"/>
            <w:noWrap/>
            <w:vAlign w:val="bottom"/>
          </w:tcPr>
          <w:p w14:paraId="70AA428E" w14:textId="77777777" w:rsidR="00896338" w:rsidRPr="007D1689" w:rsidRDefault="00896338" w:rsidP="007D1689">
            <w:pPr>
              <w:pStyle w:val="Texto"/>
              <w:ind w:firstLine="0"/>
              <w:jc w:val="center"/>
              <w:rPr>
                <w:b/>
                <w:bCs/>
                <w:sz w:val="13"/>
                <w:szCs w:val="13"/>
                <w:lang w:eastAsia="es-MX"/>
              </w:rPr>
            </w:pPr>
            <w:r w:rsidRPr="007D1689">
              <w:rPr>
                <w:b/>
                <w:bCs/>
                <w:sz w:val="13"/>
                <w:szCs w:val="13"/>
                <w:lang w:eastAsia="es-MX"/>
              </w:rPr>
              <w:t>(MILLONES DE PESOS)</w:t>
            </w:r>
          </w:p>
        </w:tc>
      </w:tr>
      <w:tr w:rsidR="00896338" w:rsidRPr="00054A7A" w14:paraId="41708662" w14:textId="77777777">
        <w:trPr>
          <w:trHeight w:val="20"/>
          <w:jc w:val="center"/>
        </w:trPr>
        <w:tc>
          <w:tcPr>
            <w:tcW w:w="2687" w:type="dxa"/>
            <w:shd w:val="clear" w:color="auto" w:fill="auto"/>
            <w:noWrap/>
            <w:vAlign w:val="center"/>
          </w:tcPr>
          <w:p w14:paraId="6F9CE1A6" w14:textId="77777777" w:rsidR="00896338" w:rsidRPr="007D1689" w:rsidRDefault="00896338" w:rsidP="007D1689">
            <w:pPr>
              <w:pStyle w:val="Texto"/>
              <w:ind w:firstLine="0"/>
              <w:jc w:val="center"/>
              <w:rPr>
                <w:b/>
                <w:bCs/>
                <w:sz w:val="13"/>
                <w:szCs w:val="13"/>
                <w:lang w:eastAsia="es-MX"/>
              </w:rPr>
            </w:pPr>
            <w:r w:rsidRPr="007D1689">
              <w:rPr>
                <w:b/>
                <w:bCs/>
                <w:sz w:val="13"/>
                <w:szCs w:val="13"/>
                <w:lang w:eastAsia="es-MX"/>
              </w:rPr>
              <w:t>Conceptos</w:t>
            </w:r>
          </w:p>
        </w:tc>
        <w:tc>
          <w:tcPr>
            <w:tcW w:w="780" w:type="dxa"/>
            <w:shd w:val="clear" w:color="auto" w:fill="auto"/>
            <w:noWrap/>
            <w:vAlign w:val="center"/>
          </w:tcPr>
          <w:p w14:paraId="70899CD4" w14:textId="77777777" w:rsidR="00896338" w:rsidRPr="007D1689" w:rsidRDefault="00896338" w:rsidP="007D1689">
            <w:pPr>
              <w:pStyle w:val="Texto"/>
              <w:ind w:firstLine="0"/>
              <w:jc w:val="center"/>
              <w:rPr>
                <w:b/>
                <w:bCs/>
                <w:sz w:val="13"/>
                <w:szCs w:val="13"/>
                <w:lang w:eastAsia="es-MX"/>
              </w:rPr>
            </w:pPr>
            <w:r w:rsidRPr="007D1689">
              <w:rPr>
                <w:b/>
                <w:bCs/>
                <w:sz w:val="13"/>
                <w:szCs w:val="13"/>
                <w:lang w:eastAsia="es-MX"/>
              </w:rPr>
              <w:t>Julio</w:t>
            </w:r>
          </w:p>
        </w:tc>
        <w:tc>
          <w:tcPr>
            <w:tcW w:w="780" w:type="dxa"/>
            <w:shd w:val="clear" w:color="auto" w:fill="auto"/>
            <w:noWrap/>
            <w:vAlign w:val="center"/>
          </w:tcPr>
          <w:p w14:paraId="6A527736" w14:textId="77777777" w:rsidR="00896338" w:rsidRPr="007D1689" w:rsidRDefault="00896338" w:rsidP="007D1689">
            <w:pPr>
              <w:pStyle w:val="Texto"/>
              <w:ind w:firstLine="0"/>
              <w:jc w:val="center"/>
              <w:rPr>
                <w:b/>
                <w:bCs/>
                <w:sz w:val="13"/>
                <w:szCs w:val="13"/>
                <w:lang w:eastAsia="es-MX"/>
              </w:rPr>
            </w:pPr>
            <w:r w:rsidRPr="007D1689">
              <w:rPr>
                <w:b/>
                <w:bCs/>
                <w:sz w:val="13"/>
                <w:szCs w:val="13"/>
                <w:lang w:eastAsia="es-MX"/>
              </w:rPr>
              <w:t>Agosto</w:t>
            </w:r>
          </w:p>
        </w:tc>
        <w:tc>
          <w:tcPr>
            <w:tcW w:w="932" w:type="dxa"/>
            <w:shd w:val="clear" w:color="auto" w:fill="auto"/>
            <w:noWrap/>
            <w:vAlign w:val="center"/>
          </w:tcPr>
          <w:p w14:paraId="78B438BE" w14:textId="77777777" w:rsidR="00896338" w:rsidRPr="007D1689" w:rsidRDefault="00896338" w:rsidP="007D1689">
            <w:pPr>
              <w:pStyle w:val="Texto"/>
              <w:ind w:firstLine="0"/>
              <w:jc w:val="center"/>
              <w:rPr>
                <w:b/>
                <w:bCs/>
                <w:sz w:val="13"/>
                <w:szCs w:val="13"/>
                <w:lang w:eastAsia="es-MX"/>
              </w:rPr>
            </w:pPr>
            <w:r w:rsidRPr="007D1689">
              <w:rPr>
                <w:b/>
                <w:bCs/>
                <w:sz w:val="13"/>
                <w:szCs w:val="13"/>
                <w:lang w:eastAsia="es-MX"/>
              </w:rPr>
              <w:t>Septiembre</w:t>
            </w:r>
          </w:p>
        </w:tc>
        <w:tc>
          <w:tcPr>
            <w:tcW w:w="780" w:type="dxa"/>
            <w:shd w:val="clear" w:color="auto" w:fill="auto"/>
            <w:noWrap/>
            <w:vAlign w:val="center"/>
          </w:tcPr>
          <w:p w14:paraId="34F1C0F8" w14:textId="77777777" w:rsidR="00896338" w:rsidRPr="007D1689" w:rsidRDefault="00896338" w:rsidP="007D1689">
            <w:pPr>
              <w:pStyle w:val="Texto"/>
              <w:ind w:firstLine="0"/>
              <w:jc w:val="center"/>
              <w:rPr>
                <w:b/>
                <w:bCs/>
                <w:sz w:val="13"/>
                <w:szCs w:val="13"/>
                <w:lang w:eastAsia="es-MX"/>
              </w:rPr>
            </w:pPr>
            <w:r w:rsidRPr="007D1689">
              <w:rPr>
                <w:b/>
                <w:bCs/>
                <w:sz w:val="13"/>
                <w:szCs w:val="13"/>
                <w:lang w:eastAsia="es-MX"/>
              </w:rPr>
              <w:t>Octubre</w:t>
            </w:r>
          </w:p>
        </w:tc>
        <w:tc>
          <w:tcPr>
            <w:tcW w:w="885" w:type="dxa"/>
            <w:shd w:val="clear" w:color="auto" w:fill="auto"/>
            <w:noWrap/>
            <w:vAlign w:val="center"/>
          </w:tcPr>
          <w:p w14:paraId="3984ABF5" w14:textId="77777777" w:rsidR="00896338" w:rsidRPr="007D1689" w:rsidRDefault="00896338" w:rsidP="007D1689">
            <w:pPr>
              <w:pStyle w:val="Texto"/>
              <w:ind w:firstLine="0"/>
              <w:jc w:val="center"/>
              <w:rPr>
                <w:b/>
                <w:bCs/>
                <w:sz w:val="13"/>
                <w:szCs w:val="13"/>
                <w:lang w:eastAsia="es-MX"/>
              </w:rPr>
            </w:pPr>
            <w:r w:rsidRPr="007D1689">
              <w:rPr>
                <w:b/>
                <w:bCs/>
                <w:sz w:val="13"/>
                <w:szCs w:val="13"/>
                <w:lang w:eastAsia="es-MX"/>
              </w:rPr>
              <w:t>Noviembre</w:t>
            </w:r>
          </w:p>
        </w:tc>
        <w:tc>
          <w:tcPr>
            <w:tcW w:w="859" w:type="dxa"/>
            <w:shd w:val="clear" w:color="auto" w:fill="auto"/>
            <w:noWrap/>
            <w:vAlign w:val="center"/>
          </w:tcPr>
          <w:p w14:paraId="31C5A2E2" w14:textId="77777777" w:rsidR="00896338" w:rsidRPr="007D1689" w:rsidRDefault="00896338" w:rsidP="007D1689">
            <w:pPr>
              <w:pStyle w:val="Texto"/>
              <w:ind w:firstLine="0"/>
              <w:jc w:val="center"/>
              <w:rPr>
                <w:b/>
                <w:bCs/>
                <w:sz w:val="13"/>
                <w:szCs w:val="13"/>
                <w:lang w:eastAsia="es-MX"/>
              </w:rPr>
            </w:pPr>
            <w:r w:rsidRPr="007D1689">
              <w:rPr>
                <w:b/>
                <w:bCs/>
                <w:sz w:val="13"/>
                <w:szCs w:val="13"/>
                <w:lang w:eastAsia="es-MX"/>
              </w:rPr>
              <w:t>Diciembre</w:t>
            </w:r>
          </w:p>
        </w:tc>
        <w:tc>
          <w:tcPr>
            <w:tcW w:w="1009" w:type="dxa"/>
            <w:shd w:val="clear" w:color="auto" w:fill="auto"/>
            <w:vAlign w:val="center"/>
          </w:tcPr>
          <w:p w14:paraId="06067985" w14:textId="77777777" w:rsidR="00896338" w:rsidRPr="007D1689" w:rsidRDefault="00896338" w:rsidP="007D1689">
            <w:pPr>
              <w:pStyle w:val="Texto"/>
              <w:ind w:firstLine="0"/>
              <w:jc w:val="center"/>
              <w:rPr>
                <w:b/>
                <w:bCs/>
                <w:sz w:val="13"/>
                <w:szCs w:val="13"/>
                <w:lang w:eastAsia="es-MX"/>
              </w:rPr>
            </w:pPr>
            <w:r w:rsidRPr="007D1689">
              <w:rPr>
                <w:b/>
                <w:bCs/>
                <w:sz w:val="13"/>
                <w:szCs w:val="13"/>
                <w:lang w:eastAsia="es-MX"/>
              </w:rPr>
              <w:t>Enero Diciembre 4_/</w:t>
            </w:r>
          </w:p>
        </w:tc>
      </w:tr>
      <w:tr w:rsidR="00896338" w:rsidRPr="00054A7A" w14:paraId="5CF7D496" w14:textId="77777777">
        <w:trPr>
          <w:trHeight w:val="20"/>
          <w:jc w:val="center"/>
        </w:trPr>
        <w:tc>
          <w:tcPr>
            <w:tcW w:w="2687" w:type="dxa"/>
            <w:shd w:val="clear" w:color="auto" w:fill="auto"/>
            <w:vAlign w:val="center"/>
          </w:tcPr>
          <w:p w14:paraId="14E037BE" w14:textId="77777777" w:rsidR="00896338" w:rsidRPr="007D1689" w:rsidRDefault="00896338" w:rsidP="00054A7A">
            <w:pPr>
              <w:pStyle w:val="Texto"/>
              <w:ind w:firstLine="0"/>
              <w:rPr>
                <w:b/>
                <w:bCs/>
                <w:sz w:val="13"/>
                <w:szCs w:val="13"/>
                <w:lang w:eastAsia="es-MX"/>
              </w:rPr>
            </w:pPr>
            <w:r w:rsidRPr="007D1689">
              <w:rPr>
                <w:b/>
                <w:bCs/>
                <w:sz w:val="13"/>
                <w:szCs w:val="13"/>
                <w:lang w:eastAsia="es-MX"/>
              </w:rPr>
              <w:t>Total</w:t>
            </w:r>
          </w:p>
        </w:tc>
        <w:tc>
          <w:tcPr>
            <w:tcW w:w="780" w:type="dxa"/>
            <w:shd w:val="clear" w:color="auto" w:fill="auto"/>
            <w:noWrap/>
          </w:tcPr>
          <w:p w14:paraId="78C73B34" w14:textId="77777777" w:rsidR="00896338" w:rsidRPr="007D1689" w:rsidRDefault="00896338" w:rsidP="007D1689">
            <w:pPr>
              <w:pStyle w:val="Texto"/>
              <w:ind w:firstLine="0"/>
              <w:jc w:val="right"/>
              <w:rPr>
                <w:sz w:val="13"/>
                <w:szCs w:val="13"/>
                <w:lang w:eastAsia="es-MX"/>
              </w:rPr>
            </w:pPr>
            <w:r w:rsidRPr="007D1689">
              <w:rPr>
                <w:sz w:val="13"/>
                <w:szCs w:val="13"/>
              </w:rPr>
              <w:t>451,745.0</w:t>
            </w:r>
          </w:p>
        </w:tc>
        <w:tc>
          <w:tcPr>
            <w:tcW w:w="780" w:type="dxa"/>
            <w:shd w:val="clear" w:color="auto" w:fill="auto"/>
            <w:noWrap/>
          </w:tcPr>
          <w:p w14:paraId="0E37292A" w14:textId="77777777" w:rsidR="00896338" w:rsidRPr="007D1689" w:rsidRDefault="00896338" w:rsidP="007D1689">
            <w:pPr>
              <w:pStyle w:val="Texto"/>
              <w:ind w:firstLine="0"/>
              <w:jc w:val="right"/>
              <w:rPr>
                <w:sz w:val="13"/>
                <w:szCs w:val="13"/>
                <w:lang w:eastAsia="es-MX"/>
              </w:rPr>
            </w:pPr>
            <w:r w:rsidRPr="007D1689">
              <w:rPr>
                <w:sz w:val="13"/>
                <w:szCs w:val="13"/>
              </w:rPr>
              <w:t>443,010.2</w:t>
            </w:r>
          </w:p>
        </w:tc>
        <w:tc>
          <w:tcPr>
            <w:tcW w:w="932" w:type="dxa"/>
            <w:shd w:val="clear" w:color="auto" w:fill="auto"/>
            <w:noWrap/>
          </w:tcPr>
          <w:p w14:paraId="7532D9B1" w14:textId="77777777" w:rsidR="00896338" w:rsidRPr="007D1689" w:rsidRDefault="00896338" w:rsidP="007D1689">
            <w:pPr>
              <w:pStyle w:val="Texto"/>
              <w:ind w:firstLine="0"/>
              <w:jc w:val="right"/>
              <w:rPr>
                <w:sz w:val="13"/>
                <w:szCs w:val="13"/>
                <w:lang w:eastAsia="es-MX"/>
              </w:rPr>
            </w:pPr>
            <w:r w:rsidRPr="007D1689">
              <w:rPr>
                <w:sz w:val="13"/>
                <w:szCs w:val="13"/>
              </w:rPr>
              <w:t>448,059.4</w:t>
            </w:r>
          </w:p>
        </w:tc>
        <w:tc>
          <w:tcPr>
            <w:tcW w:w="780" w:type="dxa"/>
            <w:shd w:val="clear" w:color="auto" w:fill="auto"/>
            <w:noWrap/>
          </w:tcPr>
          <w:p w14:paraId="3AD6464D" w14:textId="77777777" w:rsidR="00896338" w:rsidRPr="007D1689" w:rsidRDefault="00896338" w:rsidP="007D1689">
            <w:pPr>
              <w:pStyle w:val="Texto"/>
              <w:ind w:firstLine="0"/>
              <w:jc w:val="right"/>
              <w:rPr>
                <w:sz w:val="13"/>
                <w:szCs w:val="13"/>
                <w:lang w:eastAsia="es-MX"/>
              </w:rPr>
            </w:pPr>
            <w:r w:rsidRPr="007D1689">
              <w:rPr>
                <w:sz w:val="13"/>
                <w:szCs w:val="13"/>
              </w:rPr>
              <w:t>442,301.8</w:t>
            </w:r>
          </w:p>
        </w:tc>
        <w:tc>
          <w:tcPr>
            <w:tcW w:w="885" w:type="dxa"/>
            <w:shd w:val="clear" w:color="auto" w:fill="auto"/>
            <w:noWrap/>
          </w:tcPr>
          <w:p w14:paraId="4953BA22" w14:textId="77777777" w:rsidR="00896338" w:rsidRPr="007D1689" w:rsidRDefault="00896338" w:rsidP="007D1689">
            <w:pPr>
              <w:pStyle w:val="Texto"/>
              <w:ind w:firstLine="0"/>
              <w:jc w:val="right"/>
              <w:rPr>
                <w:sz w:val="13"/>
                <w:szCs w:val="13"/>
                <w:lang w:eastAsia="es-MX"/>
              </w:rPr>
            </w:pPr>
            <w:r w:rsidRPr="007D1689">
              <w:rPr>
                <w:sz w:val="13"/>
                <w:szCs w:val="13"/>
              </w:rPr>
              <w:t>428,555.0</w:t>
            </w:r>
          </w:p>
        </w:tc>
        <w:tc>
          <w:tcPr>
            <w:tcW w:w="859" w:type="dxa"/>
            <w:shd w:val="clear" w:color="auto" w:fill="auto"/>
            <w:noWrap/>
          </w:tcPr>
          <w:p w14:paraId="2C18931A" w14:textId="77777777" w:rsidR="00896338" w:rsidRPr="007D1689" w:rsidRDefault="00896338" w:rsidP="007D1689">
            <w:pPr>
              <w:pStyle w:val="Texto"/>
              <w:ind w:firstLine="0"/>
              <w:jc w:val="right"/>
              <w:rPr>
                <w:sz w:val="13"/>
                <w:szCs w:val="13"/>
                <w:lang w:eastAsia="es-MX"/>
              </w:rPr>
            </w:pPr>
            <w:r w:rsidRPr="007D1689">
              <w:rPr>
                <w:sz w:val="13"/>
                <w:szCs w:val="13"/>
              </w:rPr>
              <w:t>492,351.7</w:t>
            </w:r>
          </w:p>
        </w:tc>
        <w:tc>
          <w:tcPr>
            <w:tcW w:w="1009" w:type="dxa"/>
            <w:shd w:val="clear" w:color="auto" w:fill="auto"/>
            <w:noWrap/>
          </w:tcPr>
          <w:p w14:paraId="45D023BD" w14:textId="77777777" w:rsidR="00896338" w:rsidRPr="007D1689" w:rsidRDefault="00896338" w:rsidP="007D1689">
            <w:pPr>
              <w:pStyle w:val="Texto"/>
              <w:ind w:firstLine="0"/>
              <w:jc w:val="right"/>
              <w:rPr>
                <w:sz w:val="13"/>
                <w:szCs w:val="13"/>
                <w:lang w:eastAsia="es-MX"/>
              </w:rPr>
            </w:pPr>
            <w:r w:rsidRPr="007D1689">
              <w:rPr>
                <w:sz w:val="13"/>
                <w:szCs w:val="13"/>
              </w:rPr>
              <w:t>5,538,946.6</w:t>
            </w:r>
          </w:p>
        </w:tc>
      </w:tr>
      <w:tr w:rsidR="00896338" w:rsidRPr="00054A7A" w14:paraId="48E07792" w14:textId="77777777">
        <w:trPr>
          <w:trHeight w:val="20"/>
          <w:jc w:val="center"/>
        </w:trPr>
        <w:tc>
          <w:tcPr>
            <w:tcW w:w="2687" w:type="dxa"/>
            <w:shd w:val="clear" w:color="auto" w:fill="auto"/>
            <w:vAlign w:val="center"/>
          </w:tcPr>
          <w:p w14:paraId="2AA370E9" w14:textId="77777777" w:rsidR="00896338" w:rsidRPr="007D1689" w:rsidRDefault="00896338" w:rsidP="007D1689">
            <w:pPr>
              <w:pStyle w:val="Texto"/>
              <w:ind w:left="144" w:firstLine="0"/>
              <w:rPr>
                <w:b/>
                <w:bCs/>
                <w:sz w:val="13"/>
                <w:szCs w:val="13"/>
                <w:lang w:eastAsia="es-MX"/>
              </w:rPr>
            </w:pPr>
            <w:r w:rsidRPr="007D1689">
              <w:rPr>
                <w:b/>
                <w:bCs/>
                <w:sz w:val="13"/>
                <w:szCs w:val="13"/>
                <w:lang w:eastAsia="es-MX"/>
              </w:rPr>
              <w:t>Ingresos del Gobierno Federal</w:t>
            </w:r>
          </w:p>
        </w:tc>
        <w:tc>
          <w:tcPr>
            <w:tcW w:w="780" w:type="dxa"/>
            <w:shd w:val="clear" w:color="auto" w:fill="auto"/>
            <w:noWrap/>
          </w:tcPr>
          <w:p w14:paraId="5B2F5C21" w14:textId="77777777" w:rsidR="00896338" w:rsidRPr="007D1689" w:rsidRDefault="00896338" w:rsidP="007D1689">
            <w:pPr>
              <w:pStyle w:val="Texto"/>
              <w:ind w:firstLine="0"/>
              <w:jc w:val="right"/>
              <w:rPr>
                <w:sz w:val="13"/>
                <w:szCs w:val="13"/>
                <w:lang w:eastAsia="es-MX"/>
              </w:rPr>
            </w:pPr>
            <w:r w:rsidRPr="007D1689">
              <w:rPr>
                <w:sz w:val="13"/>
                <w:szCs w:val="13"/>
              </w:rPr>
              <w:t>334,837.4</w:t>
            </w:r>
          </w:p>
        </w:tc>
        <w:tc>
          <w:tcPr>
            <w:tcW w:w="780" w:type="dxa"/>
            <w:shd w:val="clear" w:color="auto" w:fill="auto"/>
            <w:noWrap/>
          </w:tcPr>
          <w:p w14:paraId="42EE54C0" w14:textId="77777777" w:rsidR="00896338" w:rsidRPr="007D1689" w:rsidRDefault="00896338" w:rsidP="007D1689">
            <w:pPr>
              <w:pStyle w:val="Texto"/>
              <w:ind w:firstLine="0"/>
              <w:jc w:val="right"/>
              <w:rPr>
                <w:sz w:val="13"/>
                <w:szCs w:val="13"/>
                <w:lang w:eastAsia="es-MX"/>
              </w:rPr>
            </w:pPr>
            <w:r w:rsidRPr="007D1689">
              <w:rPr>
                <w:sz w:val="13"/>
                <w:szCs w:val="13"/>
              </w:rPr>
              <w:t>319,431.5</w:t>
            </w:r>
          </w:p>
        </w:tc>
        <w:tc>
          <w:tcPr>
            <w:tcW w:w="932" w:type="dxa"/>
            <w:shd w:val="clear" w:color="auto" w:fill="auto"/>
            <w:noWrap/>
          </w:tcPr>
          <w:p w14:paraId="4C361FC4" w14:textId="77777777" w:rsidR="00896338" w:rsidRPr="007D1689" w:rsidRDefault="00896338" w:rsidP="007D1689">
            <w:pPr>
              <w:pStyle w:val="Texto"/>
              <w:ind w:firstLine="0"/>
              <w:jc w:val="right"/>
              <w:rPr>
                <w:sz w:val="13"/>
                <w:szCs w:val="13"/>
                <w:lang w:eastAsia="es-MX"/>
              </w:rPr>
            </w:pPr>
            <w:r w:rsidRPr="007D1689">
              <w:rPr>
                <w:sz w:val="13"/>
                <w:szCs w:val="13"/>
              </w:rPr>
              <w:t>331,873.3</w:t>
            </w:r>
          </w:p>
        </w:tc>
        <w:tc>
          <w:tcPr>
            <w:tcW w:w="780" w:type="dxa"/>
            <w:shd w:val="clear" w:color="auto" w:fill="auto"/>
            <w:noWrap/>
          </w:tcPr>
          <w:p w14:paraId="536D901F" w14:textId="77777777" w:rsidR="00896338" w:rsidRPr="007D1689" w:rsidRDefault="00896338" w:rsidP="007D1689">
            <w:pPr>
              <w:pStyle w:val="Texto"/>
              <w:ind w:firstLine="0"/>
              <w:jc w:val="right"/>
              <w:rPr>
                <w:sz w:val="13"/>
                <w:szCs w:val="13"/>
                <w:lang w:eastAsia="es-MX"/>
              </w:rPr>
            </w:pPr>
            <w:r w:rsidRPr="007D1689">
              <w:rPr>
                <w:sz w:val="13"/>
                <w:szCs w:val="13"/>
              </w:rPr>
              <w:t>313,818.9</w:t>
            </w:r>
          </w:p>
        </w:tc>
        <w:tc>
          <w:tcPr>
            <w:tcW w:w="885" w:type="dxa"/>
            <w:shd w:val="clear" w:color="auto" w:fill="auto"/>
            <w:noWrap/>
          </w:tcPr>
          <w:p w14:paraId="2D3EE103" w14:textId="77777777" w:rsidR="00896338" w:rsidRPr="007D1689" w:rsidRDefault="00896338" w:rsidP="007D1689">
            <w:pPr>
              <w:pStyle w:val="Texto"/>
              <w:ind w:firstLine="0"/>
              <w:jc w:val="right"/>
              <w:rPr>
                <w:sz w:val="13"/>
                <w:szCs w:val="13"/>
                <w:lang w:eastAsia="es-MX"/>
              </w:rPr>
            </w:pPr>
            <w:r w:rsidRPr="007D1689">
              <w:rPr>
                <w:sz w:val="13"/>
                <w:szCs w:val="13"/>
              </w:rPr>
              <w:t>312,813.2</w:t>
            </w:r>
          </w:p>
        </w:tc>
        <w:tc>
          <w:tcPr>
            <w:tcW w:w="859" w:type="dxa"/>
            <w:shd w:val="clear" w:color="auto" w:fill="auto"/>
            <w:noWrap/>
          </w:tcPr>
          <w:p w14:paraId="604AEB35" w14:textId="77777777" w:rsidR="00896338" w:rsidRPr="007D1689" w:rsidRDefault="00896338" w:rsidP="007D1689">
            <w:pPr>
              <w:pStyle w:val="Texto"/>
              <w:ind w:firstLine="0"/>
              <w:jc w:val="right"/>
              <w:rPr>
                <w:sz w:val="13"/>
                <w:szCs w:val="13"/>
                <w:lang w:eastAsia="es-MX"/>
              </w:rPr>
            </w:pPr>
            <w:r w:rsidRPr="007D1689">
              <w:rPr>
                <w:sz w:val="13"/>
                <w:szCs w:val="13"/>
              </w:rPr>
              <w:t>360,056.0</w:t>
            </w:r>
          </w:p>
        </w:tc>
        <w:tc>
          <w:tcPr>
            <w:tcW w:w="1009" w:type="dxa"/>
            <w:shd w:val="clear" w:color="auto" w:fill="auto"/>
            <w:noWrap/>
          </w:tcPr>
          <w:p w14:paraId="352E3628" w14:textId="77777777" w:rsidR="00896338" w:rsidRPr="007D1689" w:rsidRDefault="00896338" w:rsidP="007D1689">
            <w:pPr>
              <w:pStyle w:val="Texto"/>
              <w:ind w:firstLine="0"/>
              <w:jc w:val="right"/>
              <w:rPr>
                <w:sz w:val="13"/>
                <w:szCs w:val="13"/>
                <w:lang w:eastAsia="es-MX"/>
              </w:rPr>
            </w:pPr>
            <w:r w:rsidRPr="007D1689">
              <w:rPr>
                <w:sz w:val="13"/>
                <w:szCs w:val="13"/>
              </w:rPr>
              <w:t>4,080,218.8</w:t>
            </w:r>
          </w:p>
        </w:tc>
      </w:tr>
      <w:tr w:rsidR="00896338" w:rsidRPr="00054A7A" w14:paraId="4C1250AB" w14:textId="77777777">
        <w:trPr>
          <w:trHeight w:val="20"/>
          <w:jc w:val="center"/>
        </w:trPr>
        <w:tc>
          <w:tcPr>
            <w:tcW w:w="2687" w:type="dxa"/>
            <w:shd w:val="clear" w:color="auto" w:fill="auto"/>
            <w:vAlign w:val="center"/>
          </w:tcPr>
          <w:p w14:paraId="6657EA1D" w14:textId="77777777" w:rsidR="00896338" w:rsidRPr="007D1689" w:rsidRDefault="00896338" w:rsidP="007D1689">
            <w:pPr>
              <w:pStyle w:val="Texto"/>
              <w:ind w:left="288" w:firstLine="0"/>
              <w:rPr>
                <w:b/>
                <w:bCs/>
                <w:sz w:val="13"/>
                <w:szCs w:val="13"/>
                <w:lang w:eastAsia="es-MX"/>
              </w:rPr>
            </w:pPr>
            <w:r w:rsidRPr="007D1689">
              <w:rPr>
                <w:b/>
                <w:bCs/>
                <w:sz w:val="13"/>
                <w:szCs w:val="13"/>
                <w:lang w:eastAsia="es-MX"/>
              </w:rPr>
              <w:t>Impuestos</w:t>
            </w:r>
          </w:p>
        </w:tc>
        <w:tc>
          <w:tcPr>
            <w:tcW w:w="780" w:type="dxa"/>
            <w:shd w:val="clear" w:color="auto" w:fill="auto"/>
            <w:noWrap/>
          </w:tcPr>
          <w:p w14:paraId="55BD3EB7" w14:textId="77777777" w:rsidR="00896338" w:rsidRPr="007D1689" w:rsidRDefault="00896338" w:rsidP="007D1689">
            <w:pPr>
              <w:pStyle w:val="Texto"/>
              <w:ind w:firstLine="0"/>
              <w:jc w:val="right"/>
              <w:rPr>
                <w:sz w:val="13"/>
                <w:szCs w:val="13"/>
                <w:lang w:eastAsia="es-MX"/>
              </w:rPr>
            </w:pPr>
            <w:r w:rsidRPr="007D1689">
              <w:rPr>
                <w:sz w:val="13"/>
                <w:szCs w:val="13"/>
              </w:rPr>
              <w:t>291,808.0</w:t>
            </w:r>
          </w:p>
        </w:tc>
        <w:tc>
          <w:tcPr>
            <w:tcW w:w="780" w:type="dxa"/>
            <w:shd w:val="clear" w:color="auto" w:fill="auto"/>
            <w:noWrap/>
          </w:tcPr>
          <w:p w14:paraId="581BC6B3" w14:textId="77777777" w:rsidR="00896338" w:rsidRPr="007D1689" w:rsidRDefault="00896338" w:rsidP="007D1689">
            <w:pPr>
              <w:pStyle w:val="Texto"/>
              <w:ind w:firstLine="0"/>
              <w:jc w:val="right"/>
              <w:rPr>
                <w:sz w:val="13"/>
                <w:szCs w:val="13"/>
                <w:lang w:eastAsia="es-MX"/>
              </w:rPr>
            </w:pPr>
            <w:r w:rsidRPr="007D1689">
              <w:rPr>
                <w:sz w:val="13"/>
                <w:szCs w:val="13"/>
              </w:rPr>
              <w:t>276,338.9</w:t>
            </w:r>
          </w:p>
        </w:tc>
        <w:tc>
          <w:tcPr>
            <w:tcW w:w="932" w:type="dxa"/>
            <w:shd w:val="clear" w:color="auto" w:fill="auto"/>
            <w:noWrap/>
          </w:tcPr>
          <w:p w14:paraId="3CA2A129" w14:textId="77777777" w:rsidR="00896338" w:rsidRPr="007D1689" w:rsidRDefault="00896338" w:rsidP="007D1689">
            <w:pPr>
              <w:pStyle w:val="Texto"/>
              <w:ind w:firstLine="0"/>
              <w:jc w:val="right"/>
              <w:rPr>
                <w:sz w:val="13"/>
                <w:szCs w:val="13"/>
                <w:lang w:eastAsia="es-MX"/>
              </w:rPr>
            </w:pPr>
            <w:r w:rsidRPr="007D1689">
              <w:rPr>
                <w:sz w:val="13"/>
                <w:szCs w:val="13"/>
              </w:rPr>
              <w:t>270,256.8</w:t>
            </w:r>
          </w:p>
        </w:tc>
        <w:tc>
          <w:tcPr>
            <w:tcW w:w="780" w:type="dxa"/>
            <w:shd w:val="clear" w:color="auto" w:fill="auto"/>
            <w:noWrap/>
          </w:tcPr>
          <w:p w14:paraId="460D7D75" w14:textId="77777777" w:rsidR="00896338" w:rsidRPr="007D1689" w:rsidRDefault="00896338" w:rsidP="007D1689">
            <w:pPr>
              <w:pStyle w:val="Texto"/>
              <w:ind w:firstLine="0"/>
              <w:jc w:val="right"/>
              <w:rPr>
                <w:sz w:val="13"/>
                <w:szCs w:val="13"/>
                <w:lang w:eastAsia="es-MX"/>
              </w:rPr>
            </w:pPr>
            <w:r w:rsidRPr="007D1689">
              <w:rPr>
                <w:sz w:val="13"/>
                <w:szCs w:val="13"/>
              </w:rPr>
              <w:t>267,939.8</w:t>
            </w:r>
          </w:p>
        </w:tc>
        <w:tc>
          <w:tcPr>
            <w:tcW w:w="885" w:type="dxa"/>
            <w:shd w:val="clear" w:color="auto" w:fill="auto"/>
            <w:noWrap/>
          </w:tcPr>
          <w:p w14:paraId="0E92C9FF" w14:textId="77777777" w:rsidR="00896338" w:rsidRPr="007D1689" w:rsidRDefault="00896338" w:rsidP="007D1689">
            <w:pPr>
              <w:pStyle w:val="Texto"/>
              <w:ind w:firstLine="0"/>
              <w:jc w:val="right"/>
              <w:rPr>
                <w:sz w:val="13"/>
                <w:szCs w:val="13"/>
                <w:lang w:eastAsia="es-MX"/>
              </w:rPr>
            </w:pPr>
            <w:r w:rsidRPr="007D1689">
              <w:rPr>
                <w:sz w:val="13"/>
                <w:szCs w:val="13"/>
              </w:rPr>
              <w:t>267,307.0</w:t>
            </w:r>
          </w:p>
        </w:tc>
        <w:tc>
          <w:tcPr>
            <w:tcW w:w="859" w:type="dxa"/>
            <w:shd w:val="clear" w:color="auto" w:fill="auto"/>
            <w:noWrap/>
          </w:tcPr>
          <w:p w14:paraId="305C02F8" w14:textId="77777777" w:rsidR="00896338" w:rsidRPr="007D1689" w:rsidRDefault="00896338" w:rsidP="007D1689">
            <w:pPr>
              <w:pStyle w:val="Texto"/>
              <w:ind w:firstLine="0"/>
              <w:jc w:val="right"/>
              <w:rPr>
                <w:sz w:val="13"/>
                <w:szCs w:val="13"/>
                <w:lang w:eastAsia="es-MX"/>
              </w:rPr>
            </w:pPr>
            <w:r w:rsidRPr="007D1689">
              <w:rPr>
                <w:sz w:val="13"/>
                <w:szCs w:val="13"/>
              </w:rPr>
              <w:t>308,236.90</w:t>
            </w:r>
          </w:p>
        </w:tc>
        <w:tc>
          <w:tcPr>
            <w:tcW w:w="1009" w:type="dxa"/>
            <w:shd w:val="clear" w:color="auto" w:fill="auto"/>
            <w:noWrap/>
          </w:tcPr>
          <w:p w14:paraId="54EABAEF" w14:textId="77777777" w:rsidR="00896338" w:rsidRPr="007D1689" w:rsidRDefault="00896338" w:rsidP="007D1689">
            <w:pPr>
              <w:pStyle w:val="Texto"/>
              <w:ind w:firstLine="0"/>
              <w:jc w:val="right"/>
              <w:rPr>
                <w:sz w:val="13"/>
                <w:szCs w:val="13"/>
                <w:lang w:eastAsia="es-MX"/>
              </w:rPr>
            </w:pPr>
            <w:r w:rsidRPr="007D1689">
              <w:rPr>
                <w:sz w:val="13"/>
                <w:szCs w:val="13"/>
              </w:rPr>
              <w:t>3,533,031.1</w:t>
            </w:r>
          </w:p>
        </w:tc>
      </w:tr>
      <w:tr w:rsidR="00896338" w:rsidRPr="00054A7A" w14:paraId="0F58D55C" w14:textId="77777777">
        <w:trPr>
          <w:trHeight w:val="20"/>
          <w:jc w:val="center"/>
        </w:trPr>
        <w:tc>
          <w:tcPr>
            <w:tcW w:w="2687" w:type="dxa"/>
            <w:shd w:val="clear" w:color="auto" w:fill="auto"/>
            <w:vAlign w:val="center"/>
          </w:tcPr>
          <w:p w14:paraId="75AD94E6" w14:textId="77777777" w:rsidR="00896338" w:rsidRPr="007D1689" w:rsidRDefault="00896338" w:rsidP="007D1689">
            <w:pPr>
              <w:pStyle w:val="Texto"/>
              <w:ind w:left="432" w:firstLine="0"/>
              <w:rPr>
                <w:sz w:val="13"/>
                <w:szCs w:val="13"/>
                <w:lang w:eastAsia="es-MX"/>
              </w:rPr>
            </w:pPr>
            <w:r w:rsidRPr="007D1689">
              <w:rPr>
                <w:sz w:val="13"/>
                <w:szCs w:val="13"/>
                <w:lang w:eastAsia="es-MX"/>
              </w:rPr>
              <w:t xml:space="preserve">Impuesto sobre la renta </w:t>
            </w:r>
          </w:p>
        </w:tc>
        <w:tc>
          <w:tcPr>
            <w:tcW w:w="780" w:type="dxa"/>
            <w:shd w:val="clear" w:color="auto" w:fill="auto"/>
            <w:noWrap/>
          </w:tcPr>
          <w:p w14:paraId="1F362129" w14:textId="77777777" w:rsidR="00896338" w:rsidRPr="007D1689" w:rsidRDefault="00896338" w:rsidP="007D1689">
            <w:pPr>
              <w:pStyle w:val="Texto"/>
              <w:ind w:firstLine="0"/>
              <w:jc w:val="right"/>
              <w:rPr>
                <w:sz w:val="13"/>
                <w:szCs w:val="13"/>
                <w:lang w:eastAsia="es-MX"/>
              </w:rPr>
            </w:pPr>
            <w:r w:rsidRPr="007D1689">
              <w:rPr>
                <w:sz w:val="13"/>
                <w:szCs w:val="13"/>
              </w:rPr>
              <w:t>143,859.1</w:t>
            </w:r>
          </w:p>
        </w:tc>
        <w:tc>
          <w:tcPr>
            <w:tcW w:w="780" w:type="dxa"/>
            <w:shd w:val="clear" w:color="auto" w:fill="auto"/>
            <w:noWrap/>
          </w:tcPr>
          <w:p w14:paraId="7AA2E10E" w14:textId="77777777" w:rsidR="00896338" w:rsidRPr="007D1689" w:rsidRDefault="00896338" w:rsidP="007D1689">
            <w:pPr>
              <w:pStyle w:val="Texto"/>
              <w:ind w:firstLine="0"/>
              <w:jc w:val="right"/>
              <w:rPr>
                <w:sz w:val="13"/>
                <w:szCs w:val="13"/>
                <w:lang w:eastAsia="es-MX"/>
              </w:rPr>
            </w:pPr>
            <w:r w:rsidRPr="007D1689">
              <w:rPr>
                <w:sz w:val="13"/>
                <w:szCs w:val="13"/>
              </w:rPr>
              <w:t>138,356.7</w:t>
            </w:r>
          </w:p>
        </w:tc>
        <w:tc>
          <w:tcPr>
            <w:tcW w:w="932" w:type="dxa"/>
            <w:shd w:val="clear" w:color="auto" w:fill="auto"/>
            <w:noWrap/>
          </w:tcPr>
          <w:p w14:paraId="55A0DB02" w14:textId="77777777" w:rsidR="00896338" w:rsidRPr="007D1689" w:rsidRDefault="00896338" w:rsidP="007D1689">
            <w:pPr>
              <w:pStyle w:val="Texto"/>
              <w:ind w:firstLine="0"/>
              <w:jc w:val="right"/>
              <w:rPr>
                <w:sz w:val="13"/>
                <w:szCs w:val="13"/>
                <w:lang w:eastAsia="es-MX"/>
              </w:rPr>
            </w:pPr>
            <w:r w:rsidRPr="007D1689">
              <w:rPr>
                <w:sz w:val="13"/>
                <w:szCs w:val="13"/>
              </w:rPr>
              <w:t>136,665.9</w:t>
            </w:r>
          </w:p>
        </w:tc>
        <w:tc>
          <w:tcPr>
            <w:tcW w:w="780" w:type="dxa"/>
            <w:shd w:val="clear" w:color="auto" w:fill="auto"/>
            <w:noWrap/>
          </w:tcPr>
          <w:p w14:paraId="16FEBE8F" w14:textId="77777777" w:rsidR="00896338" w:rsidRPr="007D1689" w:rsidRDefault="00896338" w:rsidP="007D1689">
            <w:pPr>
              <w:pStyle w:val="Texto"/>
              <w:ind w:firstLine="0"/>
              <w:jc w:val="right"/>
              <w:rPr>
                <w:sz w:val="13"/>
                <w:szCs w:val="13"/>
                <w:lang w:eastAsia="es-MX"/>
              </w:rPr>
            </w:pPr>
            <w:r w:rsidRPr="007D1689">
              <w:rPr>
                <w:sz w:val="13"/>
                <w:szCs w:val="13"/>
              </w:rPr>
              <w:t>135,563.5</w:t>
            </w:r>
          </w:p>
        </w:tc>
        <w:tc>
          <w:tcPr>
            <w:tcW w:w="885" w:type="dxa"/>
            <w:shd w:val="clear" w:color="auto" w:fill="auto"/>
            <w:noWrap/>
          </w:tcPr>
          <w:p w14:paraId="45E13DD4" w14:textId="77777777" w:rsidR="00896338" w:rsidRPr="007D1689" w:rsidRDefault="00896338" w:rsidP="007D1689">
            <w:pPr>
              <w:pStyle w:val="Texto"/>
              <w:ind w:firstLine="0"/>
              <w:jc w:val="right"/>
              <w:rPr>
                <w:sz w:val="13"/>
                <w:szCs w:val="13"/>
                <w:lang w:eastAsia="es-MX"/>
              </w:rPr>
            </w:pPr>
            <w:r w:rsidRPr="007D1689">
              <w:rPr>
                <w:sz w:val="13"/>
                <w:szCs w:val="13"/>
              </w:rPr>
              <w:t>137,492.0</w:t>
            </w:r>
          </w:p>
        </w:tc>
        <w:tc>
          <w:tcPr>
            <w:tcW w:w="859" w:type="dxa"/>
            <w:shd w:val="clear" w:color="auto" w:fill="auto"/>
            <w:noWrap/>
          </w:tcPr>
          <w:p w14:paraId="6D0DCB99" w14:textId="77777777" w:rsidR="00896338" w:rsidRPr="007D1689" w:rsidRDefault="00896338" w:rsidP="007D1689">
            <w:pPr>
              <w:pStyle w:val="Texto"/>
              <w:ind w:firstLine="0"/>
              <w:jc w:val="right"/>
              <w:rPr>
                <w:sz w:val="13"/>
                <w:szCs w:val="13"/>
                <w:lang w:eastAsia="es-MX"/>
              </w:rPr>
            </w:pPr>
            <w:r w:rsidRPr="007D1689">
              <w:rPr>
                <w:sz w:val="13"/>
                <w:szCs w:val="13"/>
              </w:rPr>
              <w:t>174,974.3</w:t>
            </w:r>
          </w:p>
        </w:tc>
        <w:tc>
          <w:tcPr>
            <w:tcW w:w="1009" w:type="dxa"/>
            <w:shd w:val="clear" w:color="auto" w:fill="auto"/>
            <w:noWrap/>
          </w:tcPr>
          <w:p w14:paraId="4548A7C4" w14:textId="77777777" w:rsidR="00896338" w:rsidRPr="007D1689" w:rsidRDefault="00896338" w:rsidP="007D1689">
            <w:pPr>
              <w:pStyle w:val="Texto"/>
              <w:ind w:firstLine="0"/>
              <w:jc w:val="right"/>
              <w:rPr>
                <w:sz w:val="13"/>
                <w:szCs w:val="13"/>
                <w:lang w:eastAsia="es-MX"/>
              </w:rPr>
            </w:pPr>
            <w:r w:rsidRPr="007D1689">
              <w:rPr>
                <w:sz w:val="13"/>
                <w:szCs w:val="13"/>
              </w:rPr>
              <w:t>1,908,813.4</w:t>
            </w:r>
          </w:p>
        </w:tc>
      </w:tr>
      <w:tr w:rsidR="00896338" w:rsidRPr="00054A7A" w14:paraId="475CA8DE" w14:textId="77777777">
        <w:trPr>
          <w:trHeight w:val="20"/>
          <w:jc w:val="center"/>
        </w:trPr>
        <w:tc>
          <w:tcPr>
            <w:tcW w:w="2687" w:type="dxa"/>
            <w:shd w:val="clear" w:color="auto" w:fill="auto"/>
            <w:vAlign w:val="center"/>
          </w:tcPr>
          <w:p w14:paraId="5DFDE504" w14:textId="77777777" w:rsidR="00896338" w:rsidRPr="007D1689" w:rsidRDefault="00896338" w:rsidP="007D1689">
            <w:pPr>
              <w:pStyle w:val="Texto"/>
              <w:ind w:left="432" w:firstLine="0"/>
              <w:rPr>
                <w:sz w:val="13"/>
                <w:szCs w:val="13"/>
                <w:lang w:eastAsia="es-MX"/>
              </w:rPr>
            </w:pPr>
            <w:r w:rsidRPr="007D1689">
              <w:rPr>
                <w:sz w:val="13"/>
                <w:szCs w:val="13"/>
                <w:lang w:eastAsia="es-MX"/>
              </w:rPr>
              <w:t>Impuesto al valor agregado</w:t>
            </w:r>
          </w:p>
        </w:tc>
        <w:tc>
          <w:tcPr>
            <w:tcW w:w="780" w:type="dxa"/>
            <w:shd w:val="clear" w:color="auto" w:fill="auto"/>
            <w:noWrap/>
          </w:tcPr>
          <w:p w14:paraId="7047A5F0" w14:textId="77777777" w:rsidR="00896338" w:rsidRPr="007D1689" w:rsidRDefault="00896338" w:rsidP="007D1689">
            <w:pPr>
              <w:pStyle w:val="Texto"/>
              <w:ind w:firstLine="0"/>
              <w:jc w:val="right"/>
              <w:rPr>
                <w:sz w:val="13"/>
                <w:szCs w:val="13"/>
                <w:lang w:eastAsia="es-MX"/>
              </w:rPr>
            </w:pPr>
            <w:r w:rsidRPr="007D1689">
              <w:rPr>
                <w:sz w:val="13"/>
                <w:szCs w:val="13"/>
              </w:rPr>
              <w:t>91,834.1</w:t>
            </w:r>
          </w:p>
        </w:tc>
        <w:tc>
          <w:tcPr>
            <w:tcW w:w="780" w:type="dxa"/>
            <w:shd w:val="clear" w:color="auto" w:fill="auto"/>
            <w:noWrap/>
          </w:tcPr>
          <w:p w14:paraId="07B5E014" w14:textId="77777777" w:rsidR="00896338" w:rsidRPr="007D1689" w:rsidRDefault="00896338" w:rsidP="007D1689">
            <w:pPr>
              <w:pStyle w:val="Texto"/>
              <w:ind w:firstLine="0"/>
              <w:jc w:val="right"/>
              <w:rPr>
                <w:sz w:val="13"/>
                <w:szCs w:val="13"/>
                <w:lang w:eastAsia="es-MX"/>
              </w:rPr>
            </w:pPr>
            <w:r w:rsidRPr="007D1689">
              <w:rPr>
                <w:sz w:val="13"/>
                <w:szCs w:val="13"/>
              </w:rPr>
              <w:t>80,415.8</w:t>
            </w:r>
          </w:p>
        </w:tc>
        <w:tc>
          <w:tcPr>
            <w:tcW w:w="932" w:type="dxa"/>
            <w:shd w:val="clear" w:color="auto" w:fill="auto"/>
            <w:noWrap/>
          </w:tcPr>
          <w:p w14:paraId="6762045A" w14:textId="77777777" w:rsidR="00896338" w:rsidRPr="007D1689" w:rsidRDefault="00896338" w:rsidP="007D1689">
            <w:pPr>
              <w:pStyle w:val="Texto"/>
              <w:ind w:firstLine="0"/>
              <w:jc w:val="right"/>
              <w:rPr>
                <w:sz w:val="13"/>
                <w:szCs w:val="13"/>
                <w:lang w:eastAsia="es-MX"/>
              </w:rPr>
            </w:pPr>
            <w:r w:rsidRPr="007D1689">
              <w:rPr>
                <w:sz w:val="13"/>
                <w:szCs w:val="13"/>
              </w:rPr>
              <w:t>78,909.5</w:t>
            </w:r>
          </w:p>
        </w:tc>
        <w:tc>
          <w:tcPr>
            <w:tcW w:w="780" w:type="dxa"/>
            <w:shd w:val="clear" w:color="auto" w:fill="auto"/>
            <w:noWrap/>
          </w:tcPr>
          <w:p w14:paraId="364DED87" w14:textId="77777777" w:rsidR="00896338" w:rsidRPr="007D1689" w:rsidRDefault="00896338" w:rsidP="007D1689">
            <w:pPr>
              <w:pStyle w:val="Texto"/>
              <w:ind w:firstLine="0"/>
              <w:jc w:val="right"/>
              <w:rPr>
                <w:sz w:val="13"/>
                <w:szCs w:val="13"/>
                <w:lang w:eastAsia="es-MX"/>
              </w:rPr>
            </w:pPr>
            <w:r w:rsidRPr="007D1689">
              <w:rPr>
                <w:sz w:val="13"/>
                <w:szCs w:val="13"/>
              </w:rPr>
              <w:t>80,061.4</w:t>
            </w:r>
          </w:p>
        </w:tc>
        <w:tc>
          <w:tcPr>
            <w:tcW w:w="885" w:type="dxa"/>
            <w:shd w:val="clear" w:color="auto" w:fill="auto"/>
            <w:noWrap/>
          </w:tcPr>
          <w:p w14:paraId="669E1F0B" w14:textId="77777777" w:rsidR="00896338" w:rsidRPr="007D1689" w:rsidRDefault="00896338" w:rsidP="007D1689">
            <w:pPr>
              <w:pStyle w:val="Texto"/>
              <w:ind w:firstLine="0"/>
              <w:jc w:val="right"/>
              <w:rPr>
                <w:sz w:val="13"/>
                <w:szCs w:val="13"/>
                <w:lang w:eastAsia="es-MX"/>
              </w:rPr>
            </w:pPr>
            <w:r w:rsidRPr="007D1689">
              <w:rPr>
                <w:sz w:val="13"/>
                <w:szCs w:val="13"/>
              </w:rPr>
              <w:t>76,209.0</w:t>
            </w:r>
          </w:p>
        </w:tc>
        <w:tc>
          <w:tcPr>
            <w:tcW w:w="859" w:type="dxa"/>
            <w:shd w:val="clear" w:color="auto" w:fill="auto"/>
            <w:noWrap/>
          </w:tcPr>
          <w:p w14:paraId="5B19E261" w14:textId="77777777" w:rsidR="00896338" w:rsidRPr="007D1689" w:rsidRDefault="00896338" w:rsidP="007D1689">
            <w:pPr>
              <w:pStyle w:val="Texto"/>
              <w:ind w:firstLine="0"/>
              <w:jc w:val="right"/>
              <w:rPr>
                <w:sz w:val="13"/>
                <w:szCs w:val="13"/>
                <w:lang w:eastAsia="es-MX"/>
              </w:rPr>
            </w:pPr>
            <w:r w:rsidRPr="007D1689">
              <w:rPr>
                <w:sz w:val="13"/>
                <w:szCs w:val="13"/>
              </w:rPr>
              <w:t>79,308.4</w:t>
            </w:r>
          </w:p>
        </w:tc>
        <w:tc>
          <w:tcPr>
            <w:tcW w:w="1009" w:type="dxa"/>
            <w:shd w:val="clear" w:color="auto" w:fill="auto"/>
            <w:noWrap/>
          </w:tcPr>
          <w:p w14:paraId="0B0E86F9" w14:textId="77777777" w:rsidR="00896338" w:rsidRPr="007D1689" w:rsidRDefault="00896338" w:rsidP="007D1689">
            <w:pPr>
              <w:pStyle w:val="Texto"/>
              <w:ind w:firstLine="0"/>
              <w:jc w:val="right"/>
              <w:rPr>
                <w:sz w:val="13"/>
                <w:szCs w:val="13"/>
                <w:lang w:eastAsia="es-MX"/>
              </w:rPr>
            </w:pPr>
            <w:r w:rsidRPr="007D1689">
              <w:rPr>
                <w:sz w:val="13"/>
                <w:szCs w:val="13"/>
              </w:rPr>
              <w:t>978,946.5</w:t>
            </w:r>
          </w:p>
        </w:tc>
      </w:tr>
      <w:tr w:rsidR="00896338" w:rsidRPr="00054A7A" w14:paraId="79EA2796" w14:textId="77777777">
        <w:trPr>
          <w:trHeight w:val="20"/>
          <w:jc w:val="center"/>
        </w:trPr>
        <w:tc>
          <w:tcPr>
            <w:tcW w:w="2687" w:type="dxa"/>
            <w:shd w:val="clear" w:color="auto" w:fill="auto"/>
            <w:vAlign w:val="center"/>
          </w:tcPr>
          <w:p w14:paraId="48C71F25" w14:textId="77777777" w:rsidR="00896338" w:rsidRPr="007D1689" w:rsidRDefault="00896338" w:rsidP="007D1689">
            <w:pPr>
              <w:pStyle w:val="Texto"/>
              <w:ind w:left="432" w:firstLine="0"/>
              <w:rPr>
                <w:sz w:val="13"/>
                <w:szCs w:val="13"/>
                <w:lang w:eastAsia="es-MX"/>
              </w:rPr>
            </w:pPr>
            <w:r w:rsidRPr="007D1689">
              <w:rPr>
                <w:sz w:val="13"/>
                <w:szCs w:val="13"/>
                <w:lang w:eastAsia="es-MX"/>
              </w:rPr>
              <w:t>Impuesto especial sobre producción y servicios</w:t>
            </w:r>
          </w:p>
        </w:tc>
        <w:tc>
          <w:tcPr>
            <w:tcW w:w="780" w:type="dxa"/>
            <w:shd w:val="clear" w:color="auto" w:fill="auto"/>
            <w:noWrap/>
          </w:tcPr>
          <w:p w14:paraId="1A02A7C2" w14:textId="77777777" w:rsidR="00896338" w:rsidRPr="007D1689" w:rsidRDefault="00896338" w:rsidP="007D1689">
            <w:pPr>
              <w:pStyle w:val="Texto"/>
              <w:ind w:firstLine="0"/>
              <w:jc w:val="right"/>
              <w:rPr>
                <w:sz w:val="13"/>
                <w:szCs w:val="13"/>
                <w:lang w:eastAsia="es-MX"/>
              </w:rPr>
            </w:pPr>
            <w:r w:rsidRPr="007D1689">
              <w:rPr>
                <w:sz w:val="13"/>
                <w:szCs w:val="13"/>
              </w:rPr>
              <w:t>44,401.8</w:t>
            </w:r>
          </w:p>
        </w:tc>
        <w:tc>
          <w:tcPr>
            <w:tcW w:w="780" w:type="dxa"/>
            <w:shd w:val="clear" w:color="auto" w:fill="auto"/>
            <w:noWrap/>
          </w:tcPr>
          <w:p w14:paraId="72EA84BB" w14:textId="77777777" w:rsidR="00896338" w:rsidRPr="007D1689" w:rsidRDefault="00896338" w:rsidP="007D1689">
            <w:pPr>
              <w:pStyle w:val="Texto"/>
              <w:ind w:firstLine="0"/>
              <w:jc w:val="right"/>
              <w:rPr>
                <w:sz w:val="13"/>
                <w:szCs w:val="13"/>
                <w:lang w:eastAsia="es-MX"/>
              </w:rPr>
            </w:pPr>
            <w:r w:rsidRPr="007D1689">
              <w:rPr>
                <w:sz w:val="13"/>
                <w:szCs w:val="13"/>
              </w:rPr>
              <w:t>45,872.3</w:t>
            </w:r>
          </w:p>
        </w:tc>
        <w:tc>
          <w:tcPr>
            <w:tcW w:w="932" w:type="dxa"/>
            <w:shd w:val="clear" w:color="auto" w:fill="auto"/>
            <w:noWrap/>
          </w:tcPr>
          <w:p w14:paraId="29F2F02C" w14:textId="77777777" w:rsidR="00896338" w:rsidRPr="007D1689" w:rsidRDefault="00896338" w:rsidP="007D1689">
            <w:pPr>
              <w:pStyle w:val="Texto"/>
              <w:ind w:firstLine="0"/>
              <w:jc w:val="right"/>
              <w:rPr>
                <w:sz w:val="13"/>
                <w:szCs w:val="13"/>
                <w:lang w:eastAsia="es-MX"/>
              </w:rPr>
            </w:pPr>
            <w:r w:rsidRPr="007D1689">
              <w:rPr>
                <w:sz w:val="13"/>
                <w:szCs w:val="13"/>
              </w:rPr>
              <w:t>43,072.9</w:t>
            </w:r>
          </w:p>
        </w:tc>
        <w:tc>
          <w:tcPr>
            <w:tcW w:w="780" w:type="dxa"/>
            <w:shd w:val="clear" w:color="auto" w:fill="auto"/>
            <w:noWrap/>
          </w:tcPr>
          <w:p w14:paraId="67F493BC" w14:textId="77777777" w:rsidR="00896338" w:rsidRPr="007D1689" w:rsidRDefault="00896338" w:rsidP="007D1689">
            <w:pPr>
              <w:pStyle w:val="Texto"/>
              <w:ind w:firstLine="0"/>
              <w:jc w:val="right"/>
              <w:rPr>
                <w:sz w:val="13"/>
                <w:szCs w:val="13"/>
                <w:lang w:eastAsia="es-MX"/>
              </w:rPr>
            </w:pPr>
            <w:r w:rsidRPr="007D1689">
              <w:rPr>
                <w:sz w:val="13"/>
                <w:szCs w:val="13"/>
              </w:rPr>
              <w:t>40,540.0</w:t>
            </w:r>
          </w:p>
        </w:tc>
        <w:tc>
          <w:tcPr>
            <w:tcW w:w="885" w:type="dxa"/>
            <w:shd w:val="clear" w:color="auto" w:fill="auto"/>
            <w:noWrap/>
          </w:tcPr>
          <w:p w14:paraId="2CD485A4" w14:textId="77777777" w:rsidR="00896338" w:rsidRPr="007D1689" w:rsidRDefault="00896338" w:rsidP="007D1689">
            <w:pPr>
              <w:pStyle w:val="Texto"/>
              <w:ind w:firstLine="0"/>
              <w:jc w:val="right"/>
              <w:rPr>
                <w:sz w:val="13"/>
                <w:szCs w:val="13"/>
                <w:lang w:eastAsia="es-MX"/>
              </w:rPr>
            </w:pPr>
            <w:r w:rsidRPr="007D1689">
              <w:rPr>
                <w:sz w:val="13"/>
                <w:szCs w:val="13"/>
              </w:rPr>
              <w:t>41,856.2</w:t>
            </w:r>
          </w:p>
        </w:tc>
        <w:tc>
          <w:tcPr>
            <w:tcW w:w="859" w:type="dxa"/>
            <w:shd w:val="clear" w:color="auto" w:fill="auto"/>
            <w:noWrap/>
          </w:tcPr>
          <w:p w14:paraId="70179F18" w14:textId="77777777" w:rsidR="00896338" w:rsidRPr="007D1689" w:rsidRDefault="00896338" w:rsidP="007D1689">
            <w:pPr>
              <w:pStyle w:val="Texto"/>
              <w:ind w:firstLine="0"/>
              <w:jc w:val="right"/>
              <w:rPr>
                <w:sz w:val="13"/>
                <w:szCs w:val="13"/>
                <w:lang w:eastAsia="es-MX"/>
              </w:rPr>
            </w:pPr>
            <w:r w:rsidRPr="007D1689">
              <w:rPr>
                <w:sz w:val="13"/>
                <w:szCs w:val="13"/>
              </w:rPr>
              <w:t>42,431.0</w:t>
            </w:r>
          </w:p>
        </w:tc>
        <w:tc>
          <w:tcPr>
            <w:tcW w:w="1009" w:type="dxa"/>
            <w:shd w:val="clear" w:color="auto" w:fill="auto"/>
            <w:noWrap/>
          </w:tcPr>
          <w:p w14:paraId="553F569A" w14:textId="77777777" w:rsidR="00896338" w:rsidRPr="007D1689" w:rsidRDefault="00896338" w:rsidP="007D1689">
            <w:pPr>
              <w:pStyle w:val="Texto"/>
              <w:ind w:firstLine="0"/>
              <w:jc w:val="right"/>
              <w:rPr>
                <w:sz w:val="13"/>
                <w:szCs w:val="13"/>
                <w:lang w:eastAsia="es-MX"/>
              </w:rPr>
            </w:pPr>
            <w:r w:rsidRPr="007D1689">
              <w:rPr>
                <w:sz w:val="13"/>
                <w:szCs w:val="13"/>
              </w:rPr>
              <w:t>510,702.7</w:t>
            </w:r>
          </w:p>
        </w:tc>
      </w:tr>
      <w:tr w:rsidR="00896338" w:rsidRPr="00054A7A" w14:paraId="00CFD49F" w14:textId="77777777">
        <w:trPr>
          <w:trHeight w:val="20"/>
          <w:jc w:val="center"/>
        </w:trPr>
        <w:tc>
          <w:tcPr>
            <w:tcW w:w="2687" w:type="dxa"/>
            <w:shd w:val="clear" w:color="auto" w:fill="auto"/>
            <w:vAlign w:val="center"/>
          </w:tcPr>
          <w:p w14:paraId="26FD96EF" w14:textId="77777777" w:rsidR="00896338" w:rsidRPr="007D1689" w:rsidRDefault="00896338" w:rsidP="007D1689">
            <w:pPr>
              <w:pStyle w:val="Texto"/>
              <w:ind w:left="432" w:firstLine="0"/>
              <w:rPr>
                <w:sz w:val="13"/>
                <w:szCs w:val="13"/>
                <w:lang w:eastAsia="es-MX"/>
              </w:rPr>
            </w:pPr>
            <w:r w:rsidRPr="007D1689">
              <w:rPr>
                <w:sz w:val="13"/>
                <w:szCs w:val="13"/>
                <w:lang w:eastAsia="es-MX"/>
              </w:rPr>
              <w:t>Impuesto general de importación</w:t>
            </w:r>
          </w:p>
        </w:tc>
        <w:tc>
          <w:tcPr>
            <w:tcW w:w="780" w:type="dxa"/>
            <w:shd w:val="clear" w:color="auto" w:fill="auto"/>
            <w:noWrap/>
          </w:tcPr>
          <w:p w14:paraId="699428F6" w14:textId="77777777" w:rsidR="00896338" w:rsidRPr="007D1689" w:rsidRDefault="00896338" w:rsidP="007D1689">
            <w:pPr>
              <w:pStyle w:val="Texto"/>
              <w:ind w:firstLine="0"/>
              <w:jc w:val="right"/>
              <w:rPr>
                <w:sz w:val="13"/>
                <w:szCs w:val="13"/>
                <w:lang w:eastAsia="es-MX"/>
              </w:rPr>
            </w:pPr>
            <w:r w:rsidRPr="007D1689">
              <w:rPr>
                <w:sz w:val="13"/>
                <w:szCs w:val="13"/>
              </w:rPr>
              <w:t>5,400.8</w:t>
            </w:r>
          </w:p>
        </w:tc>
        <w:tc>
          <w:tcPr>
            <w:tcW w:w="780" w:type="dxa"/>
            <w:shd w:val="clear" w:color="auto" w:fill="auto"/>
            <w:noWrap/>
          </w:tcPr>
          <w:p w14:paraId="73F452E9" w14:textId="77777777" w:rsidR="00896338" w:rsidRPr="007D1689" w:rsidRDefault="00896338" w:rsidP="007D1689">
            <w:pPr>
              <w:pStyle w:val="Texto"/>
              <w:ind w:firstLine="0"/>
              <w:jc w:val="right"/>
              <w:rPr>
                <w:sz w:val="13"/>
                <w:szCs w:val="13"/>
                <w:lang w:eastAsia="es-MX"/>
              </w:rPr>
            </w:pPr>
            <w:r w:rsidRPr="007D1689">
              <w:rPr>
                <w:sz w:val="13"/>
                <w:szCs w:val="13"/>
              </w:rPr>
              <w:t>5,605.4</w:t>
            </w:r>
          </w:p>
        </w:tc>
        <w:tc>
          <w:tcPr>
            <w:tcW w:w="932" w:type="dxa"/>
            <w:shd w:val="clear" w:color="auto" w:fill="auto"/>
            <w:noWrap/>
          </w:tcPr>
          <w:p w14:paraId="7F1DA3E9" w14:textId="77777777" w:rsidR="00896338" w:rsidRPr="007D1689" w:rsidRDefault="00896338" w:rsidP="007D1689">
            <w:pPr>
              <w:pStyle w:val="Texto"/>
              <w:ind w:firstLine="0"/>
              <w:jc w:val="right"/>
              <w:rPr>
                <w:sz w:val="13"/>
                <w:szCs w:val="13"/>
                <w:lang w:eastAsia="es-MX"/>
              </w:rPr>
            </w:pPr>
            <w:r w:rsidRPr="007D1689">
              <w:rPr>
                <w:sz w:val="13"/>
                <w:szCs w:val="13"/>
              </w:rPr>
              <w:t>5,663.0</w:t>
            </w:r>
          </w:p>
        </w:tc>
        <w:tc>
          <w:tcPr>
            <w:tcW w:w="780" w:type="dxa"/>
            <w:shd w:val="clear" w:color="auto" w:fill="auto"/>
            <w:noWrap/>
          </w:tcPr>
          <w:p w14:paraId="2F2617CF" w14:textId="77777777" w:rsidR="00896338" w:rsidRPr="007D1689" w:rsidRDefault="00896338" w:rsidP="007D1689">
            <w:pPr>
              <w:pStyle w:val="Texto"/>
              <w:ind w:firstLine="0"/>
              <w:jc w:val="right"/>
              <w:rPr>
                <w:sz w:val="13"/>
                <w:szCs w:val="13"/>
                <w:lang w:eastAsia="es-MX"/>
              </w:rPr>
            </w:pPr>
            <w:r w:rsidRPr="007D1689">
              <w:rPr>
                <w:sz w:val="13"/>
                <w:szCs w:val="13"/>
              </w:rPr>
              <w:t>5,794.0</w:t>
            </w:r>
          </w:p>
        </w:tc>
        <w:tc>
          <w:tcPr>
            <w:tcW w:w="885" w:type="dxa"/>
            <w:shd w:val="clear" w:color="auto" w:fill="auto"/>
            <w:noWrap/>
          </w:tcPr>
          <w:p w14:paraId="636C24E8" w14:textId="77777777" w:rsidR="00896338" w:rsidRPr="007D1689" w:rsidRDefault="00896338" w:rsidP="007D1689">
            <w:pPr>
              <w:pStyle w:val="Texto"/>
              <w:ind w:firstLine="0"/>
              <w:jc w:val="right"/>
              <w:rPr>
                <w:sz w:val="13"/>
                <w:szCs w:val="13"/>
                <w:lang w:eastAsia="es-MX"/>
              </w:rPr>
            </w:pPr>
            <w:r w:rsidRPr="007D1689">
              <w:rPr>
                <w:sz w:val="13"/>
                <w:szCs w:val="13"/>
              </w:rPr>
              <w:t>5,189.3</w:t>
            </w:r>
          </w:p>
        </w:tc>
        <w:tc>
          <w:tcPr>
            <w:tcW w:w="859" w:type="dxa"/>
            <w:shd w:val="clear" w:color="auto" w:fill="auto"/>
            <w:noWrap/>
          </w:tcPr>
          <w:p w14:paraId="46D0C7C6" w14:textId="77777777" w:rsidR="00896338" w:rsidRPr="007D1689" w:rsidRDefault="00896338" w:rsidP="007D1689">
            <w:pPr>
              <w:pStyle w:val="Texto"/>
              <w:ind w:firstLine="0"/>
              <w:jc w:val="right"/>
              <w:rPr>
                <w:sz w:val="13"/>
                <w:szCs w:val="13"/>
                <w:lang w:eastAsia="es-MX"/>
              </w:rPr>
            </w:pPr>
            <w:r w:rsidRPr="007D1689">
              <w:rPr>
                <w:sz w:val="13"/>
                <w:szCs w:val="13"/>
              </w:rPr>
              <w:t>4,965.8</w:t>
            </w:r>
          </w:p>
        </w:tc>
        <w:tc>
          <w:tcPr>
            <w:tcW w:w="1009" w:type="dxa"/>
            <w:shd w:val="clear" w:color="auto" w:fill="auto"/>
            <w:noWrap/>
          </w:tcPr>
          <w:p w14:paraId="528CDB8F" w14:textId="77777777" w:rsidR="00896338" w:rsidRPr="007D1689" w:rsidRDefault="00896338" w:rsidP="007D1689">
            <w:pPr>
              <w:pStyle w:val="Texto"/>
              <w:ind w:firstLine="0"/>
              <w:jc w:val="right"/>
              <w:rPr>
                <w:sz w:val="13"/>
                <w:szCs w:val="13"/>
                <w:lang w:eastAsia="es-MX"/>
              </w:rPr>
            </w:pPr>
            <w:r w:rsidRPr="007D1689">
              <w:rPr>
                <w:sz w:val="13"/>
                <w:szCs w:val="13"/>
              </w:rPr>
              <w:t>61,638.4</w:t>
            </w:r>
          </w:p>
        </w:tc>
      </w:tr>
      <w:tr w:rsidR="00896338" w:rsidRPr="00054A7A" w14:paraId="46D0D327" w14:textId="77777777">
        <w:trPr>
          <w:trHeight w:val="20"/>
          <w:jc w:val="center"/>
        </w:trPr>
        <w:tc>
          <w:tcPr>
            <w:tcW w:w="2687" w:type="dxa"/>
            <w:shd w:val="clear" w:color="auto" w:fill="auto"/>
            <w:vAlign w:val="center"/>
          </w:tcPr>
          <w:p w14:paraId="401C78CE" w14:textId="77777777" w:rsidR="00896338" w:rsidRPr="007D1689" w:rsidRDefault="00896338" w:rsidP="007D1689">
            <w:pPr>
              <w:pStyle w:val="Texto"/>
              <w:ind w:left="432" w:firstLine="0"/>
              <w:rPr>
                <w:sz w:val="13"/>
                <w:szCs w:val="13"/>
                <w:lang w:eastAsia="es-MX"/>
              </w:rPr>
            </w:pPr>
            <w:r w:rsidRPr="007D1689">
              <w:rPr>
                <w:sz w:val="13"/>
                <w:szCs w:val="13"/>
                <w:lang w:eastAsia="es-MX"/>
              </w:rPr>
              <w:t>Otros impuestos 1_/</w:t>
            </w:r>
          </w:p>
        </w:tc>
        <w:tc>
          <w:tcPr>
            <w:tcW w:w="780" w:type="dxa"/>
            <w:shd w:val="clear" w:color="auto" w:fill="auto"/>
            <w:noWrap/>
          </w:tcPr>
          <w:p w14:paraId="1F5354A6" w14:textId="77777777" w:rsidR="00896338" w:rsidRPr="007D1689" w:rsidRDefault="00896338" w:rsidP="007D1689">
            <w:pPr>
              <w:pStyle w:val="Texto"/>
              <w:ind w:firstLine="0"/>
              <w:jc w:val="right"/>
              <w:rPr>
                <w:sz w:val="13"/>
                <w:szCs w:val="13"/>
                <w:lang w:eastAsia="es-MX"/>
              </w:rPr>
            </w:pPr>
            <w:r w:rsidRPr="007D1689">
              <w:rPr>
                <w:sz w:val="13"/>
                <w:szCs w:val="13"/>
              </w:rPr>
              <w:t>6,312.2</w:t>
            </w:r>
          </w:p>
        </w:tc>
        <w:tc>
          <w:tcPr>
            <w:tcW w:w="780" w:type="dxa"/>
            <w:shd w:val="clear" w:color="auto" w:fill="auto"/>
            <w:noWrap/>
          </w:tcPr>
          <w:p w14:paraId="5AE33321" w14:textId="77777777" w:rsidR="00896338" w:rsidRPr="007D1689" w:rsidRDefault="00896338" w:rsidP="007D1689">
            <w:pPr>
              <w:pStyle w:val="Texto"/>
              <w:ind w:firstLine="0"/>
              <w:jc w:val="right"/>
              <w:rPr>
                <w:sz w:val="13"/>
                <w:szCs w:val="13"/>
                <w:lang w:eastAsia="es-MX"/>
              </w:rPr>
            </w:pPr>
            <w:r w:rsidRPr="007D1689">
              <w:rPr>
                <w:sz w:val="13"/>
                <w:szCs w:val="13"/>
              </w:rPr>
              <w:t>6,088.7</w:t>
            </w:r>
          </w:p>
        </w:tc>
        <w:tc>
          <w:tcPr>
            <w:tcW w:w="932" w:type="dxa"/>
            <w:shd w:val="clear" w:color="auto" w:fill="auto"/>
            <w:noWrap/>
          </w:tcPr>
          <w:p w14:paraId="592D561F" w14:textId="77777777" w:rsidR="00896338" w:rsidRPr="007D1689" w:rsidRDefault="00896338" w:rsidP="007D1689">
            <w:pPr>
              <w:pStyle w:val="Texto"/>
              <w:ind w:firstLine="0"/>
              <w:jc w:val="right"/>
              <w:rPr>
                <w:sz w:val="13"/>
                <w:szCs w:val="13"/>
                <w:lang w:eastAsia="es-MX"/>
              </w:rPr>
            </w:pPr>
            <w:r w:rsidRPr="007D1689">
              <w:rPr>
                <w:sz w:val="13"/>
                <w:szCs w:val="13"/>
              </w:rPr>
              <w:t>5,945.5</w:t>
            </w:r>
          </w:p>
        </w:tc>
        <w:tc>
          <w:tcPr>
            <w:tcW w:w="780" w:type="dxa"/>
            <w:shd w:val="clear" w:color="auto" w:fill="auto"/>
            <w:noWrap/>
          </w:tcPr>
          <w:p w14:paraId="3B4DDAFF" w14:textId="77777777" w:rsidR="00896338" w:rsidRPr="007D1689" w:rsidRDefault="00896338" w:rsidP="007D1689">
            <w:pPr>
              <w:pStyle w:val="Texto"/>
              <w:ind w:firstLine="0"/>
              <w:jc w:val="right"/>
              <w:rPr>
                <w:sz w:val="13"/>
                <w:szCs w:val="13"/>
                <w:lang w:eastAsia="es-MX"/>
              </w:rPr>
            </w:pPr>
            <w:r w:rsidRPr="007D1689">
              <w:rPr>
                <w:sz w:val="13"/>
                <w:szCs w:val="13"/>
              </w:rPr>
              <w:t>5,980.9</w:t>
            </w:r>
          </w:p>
        </w:tc>
        <w:tc>
          <w:tcPr>
            <w:tcW w:w="885" w:type="dxa"/>
            <w:shd w:val="clear" w:color="auto" w:fill="auto"/>
            <w:noWrap/>
          </w:tcPr>
          <w:p w14:paraId="34D74C84" w14:textId="77777777" w:rsidR="00896338" w:rsidRPr="007D1689" w:rsidRDefault="00896338" w:rsidP="007D1689">
            <w:pPr>
              <w:pStyle w:val="Texto"/>
              <w:ind w:firstLine="0"/>
              <w:jc w:val="right"/>
              <w:rPr>
                <w:sz w:val="13"/>
                <w:szCs w:val="13"/>
                <w:lang w:eastAsia="es-MX"/>
              </w:rPr>
            </w:pPr>
            <w:r w:rsidRPr="007D1689">
              <w:rPr>
                <w:sz w:val="13"/>
                <w:szCs w:val="13"/>
              </w:rPr>
              <w:t>6,560.5</w:t>
            </w:r>
          </w:p>
        </w:tc>
        <w:tc>
          <w:tcPr>
            <w:tcW w:w="859" w:type="dxa"/>
            <w:shd w:val="clear" w:color="auto" w:fill="auto"/>
            <w:noWrap/>
          </w:tcPr>
          <w:p w14:paraId="429F42AA" w14:textId="77777777" w:rsidR="00896338" w:rsidRPr="007D1689" w:rsidRDefault="00896338" w:rsidP="007D1689">
            <w:pPr>
              <w:pStyle w:val="Texto"/>
              <w:ind w:firstLine="0"/>
              <w:jc w:val="right"/>
              <w:rPr>
                <w:sz w:val="13"/>
                <w:szCs w:val="13"/>
                <w:lang w:eastAsia="es-MX"/>
              </w:rPr>
            </w:pPr>
            <w:r w:rsidRPr="007D1689">
              <w:rPr>
                <w:sz w:val="13"/>
                <w:szCs w:val="13"/>
              </w:rPr>
              <w:t>6,557.4</w:t>
            </w:r>
          </w:p>
        </w:tc>
        <w:tc>
          <w:tcPr>
            <w:tcW w:w="1009" w:type="dxa"/>
            <w:shd w:val="clear" w:color="auto" w:fill="auto"/>
            <w:noWrap/>
          </w:tcPr>
          <w:p w14:paraId="72CD3E02" w14:textId="77777777" w:rsidR="00896338" w:rsidRPr="007D1689" w:rsidRDefault="00896338" w:rsidP="007D1689">
            <w:pPr>
              <w:pStyle w:val="Texto"/>
              <w:ind w:firstLine="0"/>
              <w:jc w:val="right"/>
              <w:rPr>
                <w:sz w:val="13"/>
                <w:szCs w:val="13"/>
                <w:lang w:eastAsia="es-MX"/>
              </w:rPr>
            </w:pPr>
            <w:r w:rsidRPr="007D1689">
              <w:rPr>
                <w:sz w:val="13"/>
                <w:szCs w:val="13"/>
              </w:rPr>
              <w:t>72,930.1</w:t>
            </w:r>
          </w:p>
        </w:tc>
      </w:tr>
      <w:tr w:rsidR="00896338" w:rsidRPr="00054A7A" w14:paraId="53096093" w14:textId="77777777">
        <w:trPr>
          <w:trHeight w:val="20"/>
          <w:jc w:val="center"/>
        </w:trPr>
        <w:tc>
          <w:tcPr>
            <w:tcW w:w="2687" w:type="dxa"/>
            <w:shd w:val="clear" w:color="auto" w:fill="auto"/>
            <w:vAlign w:val="center"/>
          </w:tcPr>
          <w:p w14:paraId="544165E5" w14:textId="77777777" w:rsidR="00896338" w:rsidRPr="007D1689" w:rsidRDefault="00896338" w:rsidP="007D1689">
            <w:pPr>
              <w:pStyle w:val="Texto"/>
              <w:ind w:left="288" w:firstLine="0"/>
              <w:rPr>
                <w:b/>
                <w:bCs/>
                <w:sz w:val="13"/>
                <w:szCs w:val="13"/>
                <w:lang w:eastAsia="es-MX"/>
              </w:rPr>
            </w:pPr>
            <w:r w:rsidRPr="007D1689">
              <w:rPr>
                <w:b/>
                <w:bCs/>
                <w:sz w:val="13"/>
                <w:szCs w:val="13"/>
                <w:lang w:eastAsia="es-MX"/>
              </w:rPr>
              <w:t>Derechos</w:t>
            </w:r>
          </w:p>
        </w:tc>
        <w:tc>
          <w:tcPr>
            <w:tcW w:w="780" w:type="dxa"/>
            <w:shd w:val="clear" w:color="auto" w:fill="auto"/>
            <w:noWrap/>
          </w:tcPr>
          <w:p w14:paraId="6BEEDD27" w14:textId="77777777" w:rsidR="00896338" w:rsidRPr="007D1689" w:rsidRDefault="00896338" w:rsidP="007D1689">
            <w:pPr>
              <w:pStyle w:val="Texto"/>
              <w:ind w:firstLine="0"/>
              <w:jc w:val="right"/>
              <w:rPr>
                <w:sz w:val="13"/>
                <w:szCs w:val="13"/>
                <w:lang w:eastAsia="es-MX"/>
              </w:rPr>
            </w:pPr>
            <w:r w:rsidRPr="007D1689">
              <w:rPr>
                <w:sz w:val="13"/>
                <w:szCs w:val="13"/>
              </w:rPr>
              <w:t>4,757.1</w:t>
            </w:r>
          </w:p>
        </w:tc>
        <w:tc>
          <w:tcPr>
            <w:tcW w:w="780" w:type="dxa"/>
            <w:shd w:val="clear" w:color="auto" w:fill="auto"/>
            <w:noWrap/>
          </w:tcPr>
          <w:p w14:paraId="45A70EA3" w14:textId="77777777" w:rsidR="00896338" w:rsidRPr="007D1689" w:rsidRDefault="00896338" w:rsidP="007D1689">
            <w:pPr>
              <w:pStyle w:val="Texto"/>
              <w:ind w:firstLine="0"/>
              <w:jc w:val="right"/>
              <w:rPr>
                <w:sz w:val="13"/>
                <w:szCs w:val="13"/>
                <w:lang w:eastAsia="es-MX"/>
              </w:rPr>
            </w:pPr>
            <w:r w:rsidRPr="007D1689">
              <w:rPr>
                <w:sz w:val="13"/>
                <w:szCs w:val="13"/>
              </w:rPr>
              <w:t>1,810.8</w:t>
            </w:r>
          </w:p>
        </w:tc>
        <w:tc>
          <w:tcPr>
            <w:tcW w:w="932" w:type="dxa"/>
            <w:shd w:val="clear" w:color="auto" w:fill="auto"/>
            <w:noWrap/>
          </w:tcPr>
          <w:p w14:paraId="34E96B97" w14:textId="77777777" w:rsidR="00896338" w:rsidRPr="007D1689" w:rsidRDefault="00896338" w:rsidP="007D1689">
            <w:pPr>
              <w:pStyle w:val="Texto"/>
              <w:ind w:firstLine="0"/>
              <w:jc w:val="right"/>
              <w:rPr>
                <w:sz w:val="13"/>
                <w:szCs w:val="13"/>
                <w:lang w:eastAsia="es-MX"/>
              </w:rPr>
            </w:pPr>
            <w:r w:rsidRPr="007D1689">
              <w:rPr>
                <w:sz w:val="13"/>
                <w:szCs w:val="13"/>
              </w:rPr>
              <w:t>1,315.7</w:t>
            </w:r>
          </w:p>
        </w:tc>
        <w:tc>
          <w:tcPr>
            <w:tcW w:w="780" w:type="dxa"/>
            <w:shd w:val="clear" w:color="auto" w:fill="auto"/>
            <w:noWrap/>
          </w:tcPr>
          <w:p w14:paraId="79D15AAA" w14:textId="77777777" w:rsidR="00896338" w:rsidRPr="007D1689" w:rsidRDefault="00896338" w:rsidP="007D1689">
            <w:pPr>
              <w:pStyle w:val="Texto"/>
              <w:ind w:firstLine="0"/>
              <w:jc w:val="right"/>
              <w:rPr>
                <w:sz w:val="13"/>
                <w:szCs w:val="13"/>
                <w:lang w:eastAsia="es-MX"/>
              </w:rPr>
            </w:pPr>
            <w:r w:rsidRPr="007D1689">
              <w:rPr>
                <w:sz w:val="13"/>
                <w:szCs w:val="13"/>
              </w:rPr>
              <w:t>3,799.1</w:t>
            </w:r>
          </w:p>
        </w:tc>
        <w:tc>
          <w:tcPr>
            <w:tcW w:w="885" w:type="dxa"/>
            <w:shd w:val="clear" w:color="auto" w:fill="auto"/>
            <w:noWrap/>
          </w:tcPr>
          <w:p w14:paraId="6F9031A7" w14:textId="77777777" w:rsidR="00896338" w:rsidRPr="007D1689" w:rsidRDefault="00896338" w:rsidP="007D1689">
            <w:pPr>
              <w:pStyle w:val="Texto"/>
              <w:ind w:firstLine="0"/>
              <w:jc w:val="right"/>
              <w:rPr>
                <w:sz w:val="13"/>
                <w:szCs w:val="13"/>
                <w:lang w:eastAsia="es-MX"/>
              </w:rPr>
            </w:pPr>
            <w:r w:rsidRPr="007D1689">
              <w:rPr>
                <w:sz w:val="13"/>
                <w:szCs w:val="13"/>
              </w:rPr>
              <w:t>1,337.1</w:t>
            </w:r>
          </w:p>
        </w:tc>
        <w:tc>
          <w:tcPr>
            <w:tcW w:w="859" w:type="dxa"/>
            <w:shd w:val="clear" w:color="auto" w:fill="auto"/>
            <w:noWrap/>
          </w:tcPr>
          <w:p w14:paraId="09CDC44A" w14:textId="77777777" w:rsidR="00896338" w:rsidRPr="007D1689" w:rsidRDefault="00896338" w:rsidP="007D1689">
            <w:pPr>
              <w:pStyle w:val="Texto"/>
              <w:ind w:firstLine="0"/>
              <w:jc w:val="right"/>
              <w:rPr>
                <w:sz w:val="13"/>
                <w:szCs w:val="13"/>
                <w:lang w:eastAsia="es-MX"/>
              </w:rPr>
            </w:pPr>
            <w:r w:rsidRPr="007D1689">
              <w:rPr>
                <w:sz w:val="13"/>
                <w:szCs w:val="13"/>
              </w:rPr>
              <w:t>839.0</w:t>
            </w:r>
          </w:p>
        </w:tc>
        <w:tc>
          <w:tcPr>
            <w:tcW w:w="1009" w:type="dxa"/>
            <w:shd w:val="clear" w:color="auto" w:fill="auto"/>
            <w:noWrap/>
          </w:tcPr>
          <w:p w14:paraId="35EFFEA9" w14:textId="77777777" w:rsidR="00896338" w:rsidRPr="007D1689" w:rsidRDefault="00896338" w:rsidP="007D1689">
            <w:pPr>
              <w:pStyle w:val="Texto"/>
              <w:ind w:firstLine="0"/>
              <w:jc w:val="right"/>
              <w:rPr>
                <w:sz w:val="13"/>
                <w:szCs w:val="13"/>
                <w:lang w:eastAsia="es-MX"/>
              </w:rPr>
            </w:pPr>
            <w:r w:rsidRPr="007D1689">
              <w:rPr>
                <w:sz w:val="13"/>
                <w:szCs w:val="13"/>
              </w:rPr>
              <w:t>42,267.7</w:t>
            </w:r>
          </w:p>
        </w:tc>
      </w:tr>
      <w:tr w:rsidR="00896338" w:rsidRPr="00054A7A" w14:paraId="42851547" w14:textId="77777777">
        <w:trPr>
          <w:trHeight w:val="20"/>
          <w:jc w:val="center"/>
        </w:trPr>
        <w:tc>
          <w:tcPr>
            <w:tcW w:w="2687" w:type="dxa"/>
            <w:shd w:val="clear" w:color="auto" w:fill="auto"/>
            <w:vAlign w:val="center"/>
          </w:tcPr>
          <w:p w14:paraId="29CAD6AC" w14:textId="77777777" w:rsidR="00896338" w:rsidRPr="007D1689" w:rsidRDefault="00896338" w:rsidP="007D1689">
            <w:pPr>
              <w:pStyle w:val="Texto"/>
              <w:ind w:left="288" w:firstLine="0"/>
              <w:rPr>
                <w:b/>
                <w:bCs/>
                <w:sz w:val="13"/>
                <w:szCs w:val="13"/>
                <w:lang w:eastAsia="es-MX"/>
              </w:rPr>
            </w:pPr>
            <w:r w:rsidRPr="007D1689">
              <w:rPr>
                <w:b/>
                <w:bCs/>
                <w:sz w:val="13"/>
                <w:szCs w:val="13"/>
                <w:lang w:eastAsia="es-MX"/>
              </w:rPr>
              <w:t>Aprovechamientos</w:t>
            </w:r>
          </w:p>
        </w:tc>
        <w:tc>
          <w:tcPr>
            <w:tcW w:w="780" w:type="dxa"/>
            <w:shd w:val="clear" w:color="auto" w:fill="auto"/>
            <w:noWrap/>
          </w:tcPr>
          <w:p w14:paraId="659A5435" w14:textId="77777777" w:rsidR="00896338" w:rsidRPr="007D1689" w:rsidRDefault="00896338" w:rsidP="007D1689">
            <w:pPr>
              <w:pStyle w:val="Texto"/>
              <w:ind w:firstLine="0"/>
              <w:jc w:val="right"/>
              <w:rPr>
                <w:sz w:val="13"/>
                <w:szCs w:val="13"/>
                <w:lang w:eastAsia="es-MX"/>
              </w:rPr>
            </w:pPr>
            <w:r w:rsidRPr="007D1689">
              <w:rPr>
                <w:sz w:val="13"/>
                <w:szCs w:val="13"/>
              </w:rPr>
              <w:t>8,273.2</w:t>
            </w:r>
          </w:p>
        </w:tc>
        <w:tc>
          <w:tcPr>
            <w:tcW w:w="780" w:type="dxa"/>
            <w:shd w:val="clear" w:color="auto" w:fill="auto"/>
            <w:noWrap/>
          </w:tcPr>
          <w:p w14:paraId="6C9D5948" w14:textId="77777777" w:rsidR="00896338" w:rsidRPr="007D1689" w:rsidRDefault="00896338" w:rsidP="007D1689">
            <w:pPr>
              <w:pStyle w:val="Texto"/>
              <w:ind w:firstLine="0"/>
              <w:jc w:val="right"/>
              <w:rPr>
                <w:sz w:val="13"/>
                <w:szCs w:val="13"/>
                <w:lang w:eastAsia="es-MX"/>
              </w:rPr>
            </w:pPr>
            <w:r w:rsidRPr="007D1689">
              <w:rPr>
                <w:sz w:val="13"/>
                <w:szCs w:val="13"/>
              </w:rPr>
              <w:t>9,143.2</w:t>
            </w:r>
          </w:p>
        </w:tc>
        <w:tc>
          <w:tcPr>
            <w:tcW w:w="932" w:type="dxa"/>
            <w:shd w:val="clear" w:color="auto" w:fill="auto"/>
            <w:noWrap/>
          </w:tcPr>
          <w:p w14:paraId="6B770BCD" w14:textId="77777777" w:rsidR="00896338" w:rsidRPr="007D1689" w:rsidRDefault="00896338" w:rsidP="007D1689">
            <w:pPr>
              <w:pStyle w:val="Texto"/>
              <w:ind w:firstLine="0"/>
              <w:jc w:val="right"/>
              <w:rPr>
                <w:sz w:val="13"/>
                <w:szCs w:val="13"/>
                <w:lang w:eastAsia="es-MX"/>
              </w:rPr>
            </w:pPr>
            <w:r w:rsidRPr="007D1689">
              <w:rPr>
                <w:sz w:val="13"/>
                <w:szCs w:val="13"/>
              </w:rPr>
              <w:t>27,407.2</w:t>
            </w:r>
          </w:p>
        </w:tc>
        <w:tc>
          <w:tcPr>
            <w:tcW w:w="780" w:type="dxa"/>
            <w:shd w:val="clear" w:color="auto" w:fill="auto"/>
            <w:noWrap/>
          </w:tcPr>
          <w:p w14:paraId="510C9FFF" w14:textId="77777777" w:rsidR="00896338" w:rsidRPr="007D1689" w:rsidRDefault="00896338" w:rsidP="007D1689">
            <w:pPr>
              <w:pStyle w:val="Texto"/>
              <w:ind w:firstLine="0"/>
              <w:jc w:val="right"/>
              <w:rPr>
                <w:sz w:val="13"/>
                <w:szCs w:val="13"/>
                <w:lang w:eastAsia="es-MX"/>
              </w:rPr>
            </w:pPr>
            <w:r w:rsidRPr="007D1689">
              <w:rPr>
                <w:sz w:val="13"/>
                <w:szCs w:val="13"/>
              </w:rPr>
              <w:t>9,624.9</w:t>
            </w:r>
          </w:p>
        </w:tc>
        <w:tc>
          <w:tcPr>
            <w:tcW w:w="885" w:type="dxa"/>
            <w:shd w:val="clear" w:color="auto" w:fill="auto"/>
            <w:noWrap/>
          </w:tcPr>
          <w:p w14:paraId="6C62E276" w14:textId="77777777" w:rsidR="00896338" w:rsidRPr="007D1689" w:rsidRDefault="00896338" w:rsidP="007D1689">
            <w:pPr>
              <w:pStyle w:val="Texto"/>
              <w:ind w:firstLine="0"/>
              <w:jc w:val="right"/>
              <w:rPr>
                <w:sz w:val="13"/>
                <w:szCs w:val="13"/>
                <w:lang w:eastAsia="es-MX"/>
              </w:rPr>
            </w:pPr>
            <w:r w:rsidRPr="007D1689">
              <w:rPr>
                <w:sz w:val="13"/>
                <w:szCs w:val="13"/>
              </w:rPr>
              <w:t>10,645.0</w:t>
            </w:r>
          </w:p>
        </w:tc>
        <w:tc>
          <w:tcPr>
            <w:tcW w:w="859" w:type="dxa"/>
            <w:shd w:val="clear" w:color="auto" w:fill="auto"/>
            <w:noWrap/>
          </w:tcPr>
          <w:p w14:paraId="2896A721" w14:textId="77777777" w:rsidR="00896338" w:rsidRPr="007D1689" w:rsidRDefault="00896338" w:rsidP="007D1689">
            <w:pPr>
              <w:pStyle w:val="Texto"/>
              <w:ind w:firstLine="0"/>
              <w:jc w:val="right"/>
              <w:rPr>
                <w:sz w:val="13"/>
                <w:szCs w:val="13"/>
                <w:lang w:eastAsia="es-MX"/>
              </w:rPr>
            </w:pPr>
            <w:r w:rsidRPr="007D1689">
              <w:rPr>
                <w:sz w:val="13"/>
                <w:szCs w:val="13"/>
              </w:rPr>
              <w:t>18,661.7</w:t>
            </w:r>
          </w:p>
        </w:tc>
        <w:tc>
          <w:tcPr>
            <w:tcW w:w="1009" w:type="dxa"/>
            <w:shd w:val="clear" w:color="auto" w:fill="auto"/>
            <w:noWrap/>
          </w:tcPr>
          <w:p w14:paraId="369663F2" w14:textId="77777777" w:rsidR="00896338" w:rsidRPr="007D1689" w:rsidRDefault="00896338" w:rsidP="007D1689">
            <w:pPr>
              <w:pStyle w:val="Texto"/>
              <w:ind w:firstLine="0"/>
              <w:jc w:val="right"/>
              <w:rPr>
                <w:sz w:val="13"/>
                <w:szCs w:val="13"/>
                <w:lang w:eastAsia="es-MX"/>
              </w:rPr>
            </w:pPr>
            <w:r w:rsidRPr="007D1689">
              <w:rPr>
                <w:sz w:val="13"/>
                <w:szCs w:val="13"/>
              </w:rPr>
              <w:t>152,458.2</w:t>
            </w:r>
          </w:p>
        </w:tc>
      </w:tr>
      <w:tr w:rsidR="00896338" w:rsidRPr="00054A7A" w14:paraId="1679A63F" w14:textId="77777777">
        <w:trPr>
          <w:trHeight w:val="20"/>
          <w:jc w:val="center"/>
        </w:trPr>
        <w:tc>
          <w:tcPr>
            <w:tcW w:w="2687" w:type="dxa"/>
            <w:shd w:val="clear" w:color="auto" w:fill="auto"/>
            <w:vAlign w:val="center"/>
          </w:tcPr>
          <w:p w14:paraId="068E20E2" w14:textId="77777777" w:rsidR="00896338" w:rsidRPr="007D1689" w:rsidRDefault="00896338" w:rsidP="007D1689">
            <w:pPr>
              <w:pStyle w:val="Texto"/>
              <w:ind w:left="432" w:firstLine="0"/>
              <w:rPr>
                <w:sz w:val="13"/>
                <w:szCs w:val="13"/>
                <w:lang w:eastAsia="es-MX"/>
              </w:rPr>
            </w:pPr>
            <w:r w:rsidRPr="007D1689">
              <w:rPr>
                <w:sz w:val="13"/>
                <w:szCs w:val="13"/>
                <w:lang w:eastAsia="es-MX"/>
              </w:rPr>
              <w:t>Desincorporaciones</w:t>
            </w:r>
          </w:p>
        </w:tc>
        <w:tc>
          <w:tcPr>
            <w:tcW w:w="780" w:type="dxa"/>
            <w:shd w:val="clear" w:color="auto" w:fill="auto"/>
            <w:noWrap/>
          </w:tcPr>
          <w:p w14:paraId="15903AA6" w14:textId="77777777" w:rsidR="00896338" w:rsidRPr="007D1689" w:rsidRDefault="00896338" w:rsidP="007D1689">
            <w:pPr>
              <w:pStyle w:val="Texto"/>
              <w:ind w:firstLine="0"/>
              <w:jc w:val="right"/>
              <w:rPr>
                <w:sz w:val="13"/>
                <w:szCs w:val="13"/>
                <w:lang w:eastAsia="es-MX"/>
              </w:rPr>
            </w:pPr>
            <w:r w:rsidRPr="007D1689">
              <w:rPr>
                <w:sz w:val="13"/>
                <w:szCs w:val="13"/>
              </w:rPr>
              <w:t>0.0</w:t>
            </w:r>
          </w:p>
        </w:tc>
        <w:tc>
          <w:tcPr>
            <w:tcW w:w="780" w:type="dxa"/>
            <w:shd w:val="clear" w:color="auto" w:fill="auto"/>
            <w:noWrap/>
          </w:tcPr>
          <w:p w14:paraId="59269CCA" w14:textId="77777777" w:rsidR="00896338" w:rsidRPr="007D1689" w:rsidRDefault="00896338" w:rsidP="007D1689">
            <w:pPr>
              <w:pStyle w:val="Texto"/>
              <w:ind w:firstLine="0"/>
              <w:jc w:val="right"/>
              <w:rPr>
                <w:sz w:val="13"/>
                <w:szCs w:val="13"/>
                <w:lang w:eastAsia="es-MX"/>
              </w:rPr>
            </w:pPr>
            <w:r w:rsidRPr="007D1689">
              <w:rPr>
                <w:sz w:val="13"/>
                <w:szCs w:val="13"/>
              </w:rPr>
              <w:t>0.0</w:t>
            </w:r>
          </w:p>
        </w:tc>
        <w:tc>
          <w:tcPr>
            <w:tcW w:w="932" w:type="dxa"/>
            <w:shd w:val="clear" w:color="auto" w:fill="auto"/>
            <w:noWrap/>
          </w:tcPr>
          <w:p w14:paraId="3959CAD9" w14:textId="77777777" w:rsidR="00896338" w:rsidRPr="007D1689" w:rsidRDefault="00896338" w:rsidP="007D1689">
            <w:pPr>
              <w:pStyle w:val="Texto"/>
              <w:ind w:firstLine="0"/>
              <w:jc w:val="right"/>
              <w:rPr>
                <w:sz w:val="13"/>
                <w:szCs w:val="13"/>
                <w:lang w:eastAsia="es-MX"/>
              </w:rPr>
            </w:pPr>
            <w:r w:rsidRPr="007D1689">
              <w:rPr>
                <w:sz w:val="13"/>
                <w:szCs w:val="13"/>
              </w:rPr>
              <w:t>0.0</w:t>
            </w:r>
          </w:p>
        </w:tc>
        <w:tc>
          <w:tcPr>
            <w:tcW w:w="780" w:type="dxa"/>
            <w:shd w:val="clear" w:color="auto" w:fill="auto"/>
            <w:noWrap/>
          </w:tcPr>
          <w:p w14:paraId="44C7BC07" w14:textId="77777777" w:rsidR="00896338" w:rsidRPr="007D1689" w:rsidRDefault="00896338" w:rsidP="007D1689">
            <w:pPr>
              <w:pStyle w:val="Texto"/>
              <w:ind w:firstLine="0"/>
              <w:jc w:val="right"/>
              <w:rPr>
                <w:sz w:val="13"/>
                <w:szCs w:val="13"/>
                <w:lang w:eastAsia="es-MX"/>
              </w:rPr>
            </w:pPr>
            <w:r w:rsidRPr="007D1689">
              <w:rPr>
                <w:sz w:val="13"/>
                <w:szCs w:val="13"/>
              </w:rPr>
              <w:t>0.0</w:t>
            </w:r>
          </w:p>
        </w:tc>
        <w:tc>
          <w:tcPr>
            <w:tcW w:w="885" w:type="dxa"/>
            <w:shd w:val="clear" w:color="auto" w:fill="auto"/>
            <w:noWrap/>
          </w:tcPr>
          <w:p w14:paraId="3D85202D" w14:textId="77777777" w:rsidR="00896338" w:rsidRPr="007D1689" w:rsidRDefault="00896338" w:rsidP="007D1689">
            <w:pPr>
              <w:pStyle w:val="Texto"/>
              <w:ind w:firstLine="0"/>
              <w:jc w:val="right"/>
              <w:rPr>
                <w:sz w:val="13"/>
                <w:szCs w:val="13"/>
                <w:lang w:eastAsia="es-MX"/>
              </w:rPr>
            </w:pPr>
            <w:r w:rsidRPr="007D1689">
              <w:rPr>
                <w:sz w:val="13"/>
                <w:szCs w:val="13"/>
              </w:rPr>
              <w:t>0.0</w:t>
            </w:r>
          </w:p>
        </w:tc>
        <w:tc>
          <w:tcPr>
            <w:tcW w:w="859" w:type="dxa"/>
            <w:shd w:val="clear" w:color="auto" w:fill="auto"/>
            <w:noWrap/>
          </w:tcPr>
          <w:p w14:paraId="37302AB3" w14:textId="77777777" w:rsidR="00896338" w:rsidRPr="007D1689" w:rsidRDefault="00896338" w:rsidP="007D1689">
            <w:pPr>
              <w:pStyle w:val="Texto"/>
              <w:ind w:firstLine="0"/>
              <w:jc w:val="right"/>
              <w:rPr>
                <w:sz w:val="13"/>
                <w:szCs w:val="13"/>
                <w:lang w:eastAsia="es-MX"/>
              </w:rPr>
            </w:pPr>
            <w:r w:rsidRPr="007D1689">
              <w:rPr>
                <w:sz w:val="13"/>
                <w:szCs w:val="13"/>
              </w:rPr>
              <w:t>0.0</w:t>
            </w:r>
          </w:p>
        </w:tc>
        <w:tc>
          <w:tcPr>
            <w:tcW w:w="1009" w:type="dxa"/>
            <w:shd w:val="clear" w:color="auto" w:fill="auto"/>
            <w:noWrap/>
          </w:tcPr>
          <w:p w14:paraId="4DE2F263" w14:textId="77777777" w:rsidR="00896338" w:rsidRPr="007D1689" w:rsidRDefault="00896338" w:rsidP="007D1689">
            <w:pPr>
              <w:pStyle w:val="Texto"/>
              <w:ind w:firstLine="0"/>
              <w:jc w:val="right"/>
              <w:rPr>
                <w:sz w:val="13"/>
                <w:szCs w:val="13"/>
                <w:lang w:eastAsia="es-MX"/>
              </w:rPr>
            </w:pPr>
            <w:r w:rsidRPr="007D1689">
              <w:rPr>
                <w:sz w:val="13"/>
                <w:szCs w:val="13"/>
              </w:rPr>
              <w:t>0.0</w:t>
            </w:r>
          </w:p>
        </w:tc>
      </w:tr>
      <w:tr w:rsidR="00896338" w:rsidRPr="00054A7A" w14:paraId="6FB1552D" w14:textId="77777777">
        <w:trPr>
          <w:trHeight w:val="20"/>
          <w:jc w:val="center"/>
        </w:trPr>
        <w:tc>
          <w:tcPr>
            <w:tcW w:w="2687" w:type="dxa"/>
            <w:shd w:val="clear" w:color="auto" w:fill="auto"/>
            <w:vAlign w:val="center"/>
          </w:tcPr>
          <w:p w14:paraId="53EB700A" w14:textId="77777777" w:rsidR="00896338" w:rsidRPr="007D1689" w:rsidRDefault="00896338" w:rsidP="007D1689">
            <w:pPr>
              <w:pStyle w:val="Texto"/>
              <w:ind w:left="432" w:firstLine="0"/>
              <w:rPr>
                <w:sz w:val="13"/>
                <w:szCs w:val="13"/>
                <w:lang w:eastAsia="es-MX"/>
              </w:rPr>
            </w:pPr>
            <w:r w:rsidRPr="007D1689">
              <w:rPr>
                <w:sz w:val="13"/>
                <w:szCs w:val="13"/>
                <w:lang w:eastAsia="es-MX"/>
              </w:rPr>
              <w:t>No comprendidos en los incisos anteriores provenientes del cumplimiento de convenios celebrados en otros ejercicios 2_/</w:t>
            </w:r>
          </w:p>
        </w:tc>
        <w:tc>
          <w:tcPr>
            <w:tcW w:w="780" w:type="dxa"/>
            <w:shd w:val="clear" w:color="auto" w:fill="auto"/>
            <w:noWrap/>
          </w:tcPr>
          <w:p w14:paraId="0A360F78" w14:textId="77777777" w:rsidR="00896338" w:rsidRPr="007D1689" w:rsidRDefault="00896338" w:rsidP="007D1689">
            <w:pPr>
              <w:pStyle w:val="Texto"/>
              <w:ind w:firstLine="0"/>
              <w:jc w:val="right"/>
              <w:rPr>
                <w:sz w:val="13"/>
                <w:szCs w:val="13"/>
                <w:lang w:eastAsia="es-MX"/>
              </w:rPr>
            </w:pPr>
            <w:r w:rsidRPr="007D1689">
              <w:rPr>
                <w:sz w:val="13"/>
                <w:szCs w:val="13"/>
              </w:rPr>
              <w:t>0.0</w:t>
            </w:r>
          </w:p>
        </w:tc>
        <w:tc>
          <w:tcPr>
            <w:tcW w:w="780" w:type="dxa"/>
            <w:shd w:val="clear" w:color="auto" w:fill="auto"/>
            <w:noWrap/>
          </w:tcPr>
          <w:p w14:paraId="56FC2E48" w14:textId="77777777" w:rsidR="00896338" w:rsidRPr="007D1689" w:rsidRDefault="00896338" w:rsidP="007D1689">
            <w:pPr>
              <w:pStyle w:val="Texto"/>
              <w:ind w:firstLine="0"/>
              <w:jc w:val="right"/>
              <w:rPr>
                <w:sz w:val="13"/>
                <w:szCs w:val="13"/>
                <w:lang w:eastAsia="es-MX"/>
              </w:rPr>
            </w:pPr>
            <w:r w:rsidRPr="007D1689">
              <w:rPr>
                <w:sz w:val="13"/>
                <w:szCs w:val="13"/>
              </w:rPr>
              <w:t>0.0</w:t>
            </w:r>
          </w:p>
        </w:tc>
        <w:tc>
          <w:tcPr>
            <w:tcW w:w="932" w:type="dxa"/>
            <w:shd w:val="clear" w:color="auto" w:fill="auto"/>
            <w:noWrap/>
          </w:tcPr>
          <w:p w14:paraId="23886922" w14:textId="77777777" w:rsidR="00896338" w:rsidRPr="007D1689" w:rsidRDefault="00896338" w:rsidP="007D1689">
            <w:pPr>
              <w:pStyle w:val="Texto"/>
              <w:ind w:firstLine="0"/>
              <w:jc w:val="right"/>
              <w:rPr>
                <w:sz w:val="13"/>
                <w:szCs w:val="13"/>
                <w:lang w:eastAsia="es-MX"/>
              </w:rPr>
            </w:pPr>
            <w:r w:rsidRPr="007D1689">
              <w:rPr>
                <w:sz w:val="13"/>
                <w:szCs w:val="13"/>
              </w:rPr>
              <w:t>0.0</w:t>
            </w:r>
          </w:p>
        </w:tc>
        <w:tc>
          <w:tcPr>
            <w:tcW w:w="780" w:type="dxa"/>
            <w:shd w:val="clear" w:color="auto" w:fill="auto"/>
            <w:noWrap/>
          </w:tcPr>
          <w:p w14:paraId="4336032F" w14:textId="77777777" w:rsidR="00896338" w:rsidRPr="007D1689" w:rsidRDefault="00896338" w:rsidP="007D1689">
            <w:pPr>
              <w:pStyle w:val="Texto"/>
              <w:ind w:firstLine="0"/>
              <w:jc w:val="right"/>
              <w:rPr>
                <w:sz w:val="13"/>
                <w:szCs w:val="13"/>
                <w:lang w:eastAsia="es-MX"/>
              </w:rPr>
            </w:pPr>
            <w:r w:rsidRPr="007D1689">
              <w:rPr>
                <w:sz w:val="13"/>
                <w:szCs w:val="13"/>
              </w:rPr>
              <w:t>0.0</w:t>
            </w:r>
          </w:p>
        </w:tc>
        <w:tc>
          <w:tcPr>
            <w:tcW w:w="885" w:type="dxa"/>
            <w:shd w:val="clear" w:color="auto" w:fill="auto"/>
            <w:noWrap/>
          </w:tcPr>
          <w:p w14:paraId="0A250702" w14:textId="77777777" w:rsidR="00896338" w:rsidRPr="007D1689" w:rsidRDefault="00896338" w:rsidP="007D1689">
            <w:pPr>
              <w:pStyle w:val="Texto"/>
              <w:ind w:firstLine="0"/>
              <w:jc w:val="right"/>
              <w:rPr>
                <w:sz w:val="13"/>
                <w:szCs w:val="13"/>
                <w:lang w:eastAsia="es-MX"/>
              </w:rPr>
            </w:pPr>
            <w:r w:rsidRPr="007D1689">
              <w:rPr>
                <w:sz w:val="13"/>
                <w:szCs w:val="13"/>
              </w:rPr>
              <w:t>0.0</w:t>
            </w:r>
          </w:p>
        </w:tc>
        <w:tc>
          <w:tcPr>
            <w:tcW w:w="859" w:type="dxa"/>
            <w:shd w:val="clear" w:color="auto" w:fill="auto"/>
            <w:noWrap/>
          </w:tcPr>
          <w:p w14:paraId="498A7E8A" w14:textId="77777777" w:rsidR="00896338" w:rsidRPr="007D1689" w:rsidRDefault="00896338" w:rsidP="007D1689">
            <w:pPr>
              <w:pStyle w:val="Texto"/>
              <w:ind w:firstLine="0"/>
              <w:jc w:val="right"/>
              <w:rPr>
                <w:sz w:val="13"/>
                <w:szCs w:val="13"/>
                <w:lang w:eastAsia="es-MX"/>
              </w:rPr>
            </w:pPr>
            <w:r w:rsidRPr="007D1689">
              <w:rPr>
                <w:sz w:val="13"/>
                <w:szCs w:val="13"/>
              </w:rPr>
              <w:t>0.0</w:t>
            </w:r>
          </w:p>
        </w:tc>
        <w:tc>
          <w:tcPr>
            <w:tcW w:w="1009" w:type="dxa"/>
            <w:shd w:val="clear" w:color="auto" w:fill="auto"/>
            <w:noWrap/>
          </w:tcPr>
          <w:p w14:paraId="6125516B" w14:textId="77777777" w:rsidR="00896338" w:rsidRPr="007D1689" w:rsidRDefault="00896338" w:rsidP="007D1689">
            <w:pPr>
              <w:pStyle w:val="Texto"/>
              <w:ind w:firstLine="0"/>
              <w:jc w:val="right"/>
              <w:rPr>
                <w:sz w:val="13"/>
                <w:szCs w:val="13"/>
                <w:lang w:eastAsia="es-MX"/>
              </w:rPr>
            </w:pPr>
            <w:r w:rsidRPr="007D1689">
              <w:rPr>
                <w:sz w:val="13"/>
                <w:szCs w:val="13"/>
              </w:rPr>
              <w:t>0.0</w:t>
            </w:r>
          </w:p>
        </w:tc>
      </w:tr>
      <w:tr w:rsidR="00896338" w:rsidRPr="00054A7A" w14:paraId="043348DC" w14:textId="77777777">
        <w:trPr>
          <w:trHeight w:val="20"/>
          <w:jc w:val="center"/>
        </w:trPr>
        <w:tc>
          <w:tcPr>
            <w:tcW w:w="2687" w:type="dxa"/>
            <w:shd w:val="clear" w:color="auto" w:fill="auto"/>
            <w:vAlign w:val="center"/>
          </w:tcPr>
          <w:p w14:paraId="011DA15A" w14:textId="77777777" w:rsidR="00896338" w:rsidRPr="007D1689" w:rsidRDefault="00896338" w:rsidP="007D1689">
            <w:pPr>
              <w:pStyle w:val="Texto"/>
              <w:ind w:left="432" w:firstLine="0"/>
              <w:rPr>
                <w:sz w:val="13"/>
                <w:szCs w:val="13"/>
                <w:lang w:eastAsia="es-MX"/>
              </w:rPr>
            </w:pPr>
            <w:r w:rsidRPr="007D1689">
              <w:rPr>
                <w:sz w:val="13"/>
                <w:szCs w:val="13"/>
                <w:lang w:eastAsia="es-MX"/>
              </w:rPr>
              <w:t>Otros</w:t>
            </w:r>
          </w:p>
        </w:tc>
        <w:tc>
          <w:tcPr>
            <w:tcW w:w="780" w:type="dxa"/>
            <w:shd w:val="clear" w:color="auto" w:fill="auto"/>
            <w:noWrap/>
          </w:tcPr>
          <w:p w14:paraId="68C3B2DD" w14:textId="77777777" w:rsidR="00896338" w:rsidRPr="007D1689" w:rsidRDefault="00896338" w:rsidP="007D1689">
            <w:pPr>
              <w:pStyle w:val="Texto"/>
              <w:ind w:firstLine="0"/>
              <w:jc w:val="right"/>
              <w:rPr>
                <w:sz w:val="13"/>
                <w:szCs w:val="13"/>
                <w:lang w:eastAsia="es-MX"/>
              </w:rPr>
            </w:pPr>
            <w:r w:rsidRPr="007D1689">
              <w:rPr>
                <w:sz w:val="13"/>
                <w:szCs w:val="13"/>
              </w:rPr>
              <w:t>8,273.2</w:t>
            </w:r>
          </w:p>
        </w:tc>
        <w:tc>
          <w:tcPr>
            <w:tcW w:w="780" w:type="dxa"/>
            <w:shd w:val="clear" w:color="auto" w:fill="auto"/>
            <w:noWrap/>
          </w:tcPr>
          <w:p w14:paraId="36B1B8D4" w14:textId="77777777" w:rsidR="00896338" w:rsidRPr="007D1689" w:rsidRDefault="00896338" w:rsidP="007D1689">
            <w:pPr>
              <w:pStyle w:val="Texto"/>
              <w:ind w:firstLine="0"/>
              <w:jc w:val="right"/>
              <w:rPr>
                <w:sz w:val="13"/>
                <w:szCs w:val="13"/>
                <w:lang w:eastAsia="es-MX"/>
              </w:rPr>
            </w:pPr>
            <w:r w:rsidRPr="007D1689">
              <w:rPr>
                <w:sz w:val="13"/>
                <w:szCs w:val="13"/>
              </w:rPr>
              <w:t>9,143.2</w:t>
            </w:r>
          </w:p>
        </w:tc>
        <w:tc>
          <w:tcPr>
            <w:tcW w:w="932" w:type="dxa"/>
            <w:shd w:val="clear" w:color="auto" w:fill="auto"/>
            <w:noWrap/>
          </w:tcPr>
          <w:p w14:paraId="5B0C7B93" w14:textId="77777777" w:rsidR="00896338" w:rsidRPr="007D1689" w:rsidRDefault="00896338" w:rsidP="007D1689">
            <w:pPr>
              <w:pStyle w:val="Texto"/>
              <w:ind w:firstLine="0"/>
              <w:jc w:val="right"/>
              <w:rPr>
                <w:sz w:val="13"/>
                <w:szCs w:val="13"/>
                <w:lang w:eastAsia="es-MX"/>
              </w:rPr>
            </w:pPr>
            <w:r w:rsidRPr="007D1689">
              <w:rPr>
                <w:sz w:val="13"/>
                <w:szCs w:val="13"/>
              </w:rPr>
              <w:t>27,407.2</w:t>
            </w:r>
          </w:p>
        </w:tc>
        <w:tc>
          <w:tcPr>
            <w:tcW w:w="780" w:type="dxa"/>
            <w:shd w:val="clear" w:color="auto" w:fill="auto"/>
            <w:noWrap/>
          </w:tcPr>
          <w:p w14:paraId="08ED9916" w14:textId="77777777" w:rsidR="00896338" w:rsidRPr="007D1689" w:rsidRDefault="00896338" w:rsidP="007D1689">
            <w:pPr>
              <w:pStyle w:val="Texto"/>
              <w:ind w:firstLine="0"/>
              <w:jc w:val="right"/>
              <w:rPr>
                <w:sz w:val="13"/>
                <w:szCs w:val="13"/>
                <w:lang w:eastAsia="es-MX"/>
              </w:rPr>
            </w:pPr>
            <w:r w:rsidRPr="007D1689">
              <w:rPr>
                <w:sz w:val="13"/>
                <w:szCs w:val="13"/>
              </w:rPr>
              <w:t>9,624.9</w:t>
            </w:r>
          </w:p>
        </w:tc>
        <w:tc>
          <w:tcPr>
            <w:tcW w:w="885" w:type="dxa"/>
            <w:shd w:val="clear" w:color="auto" w:fill="auto"/>
            <w:noWrap/>
          </w:tcPr>
          <w:p w14:paraId="1E169CF0" w14:textId="77777777" w:rsidR="00896338" w:rsidRPr="007D1689" w:rsidRDefault="00896338" w:rsidP="007D1689">
            <w:pPr>
              <w:pStyle w:val="Texto"/>
              <w:ind w:firstLine="0"/>
              <w:jc w:val="right"/>
              <w:rPr>
                <w:sz w:val="13"/>
                <w:szCs w:val="13"/>
                <w:lang w:eastAsia="es-MX"/>
              </w:rPr>
            </w:pPr>
            <w:r w:rsidRPr="007D1689">
              <w:rPr>
                <w:sz w:val="13"/>
                <w:szCs w:val="13"/>
              </w:rPr>
              <w:t>10,645.0</w:t>
            </w:r>
          </w:p>
        </w:tc>
        <w:tc>
          <w:tcPr>
            <w:tcW w:w="859" w:type="dxa"/>
            <w:shd w:val="clear" w:color="auto" w:fill="auto"/>
            <w:noWrap/>
          </w:tcPr>
          <w:p w14:paraId="648F62A6" w14:textId="77777777" w:rsidR="00896338" w:rsidRPr="007D1689" w:rsidRDefault="00896338" w:rsidP="007D1689">
            <w:pPr>
              <w:pStyle w:val="Texto"/>
              <w:ind w:firstLine="0"/>
              <w:jc w:val="right"/>
              <w:rPr>
                <w:sz w:val="13"/>
                <w:szCs w:val="13"/>
                <w:lang w:eastAsia="es-MX"/>
              </w:rPr>
            </w:pPr>
            <w:r w:rsidRPr="007D1689">
              <w:rPr>
                <w:sz w:val="13"/>
                <w:szCs w:val="13"/>
              </w:rPr>
              <w:t>18,661.7</w:t>
            </w:r>
          </w:p>
        </w:tc>
        <w:tc>
          <w:tcPr>
            <w:tcW w:w="1009" w:type="dxa"/>
            <w:shd w:val="clear" w:color="auto" w:fill="auto"/>
            <w:noWrap/>
          </w:tcPr>
          <w:p w14:paraId="6BC874BC" w14:textId="77777777" w:rsidR="00896338" w:rsidRPr="007D1689" w:rsidRDefault="00896338" w:rsidP="007D1689">
            <w:pPr>
              <w:pStyle w:val="Texto"/>
              <w:ind w:firstLine="0"/>
              <w:jc w:val="right"/>
              <w:rPr>
                <w:sz w:val="13"/>
                <w:szCs w:val="13"/>
                <w:lang w:eastAsia="es-MX"/>
              </w:rPr>
            </w:pPr>
            <w:r w:rsidRPr="007D1689">
              <w:rPr>
                <w:sz w:val="13"/>
                <w:szCs w:val="13"/>
              </w:rPr>
              <w:t>152,458.2</w:t>
            </w:r>
          </w:p>
        </w:tc>
      </w:tr>
      <w:tr w:rsidR="00896338" w:rsidRPr="00054A7A" w14:paraId="6483BF38" w14:textId="77777777">
        <w:trPr>
          <w:trHeight w:val="20"/>
          <w:jc w:val="center"/>
        </w:trPr>
        <w:tc>
          <w:tcPr>
            <w:tcW w:w="2687" w:type="dxa"/>
            <w:shd w:val="clear" w:color="auto" w:fill="auto"/>
            <w:vAlign w:val="center"/>
          </w:tcPr>
          <w:p w14:paraId="3E7EDD70" w14:textId="77777777" w:rsidR="00896338" w:rsidRPr="007D1689" w:rsidRDefault="00896338" w:rsidP="007D1689">
            <w:pPr>
              <w:pStyle w:val="Texto"/>
              <w:ind w:left="288" w:firstLine="0"/>
              <w:rPr>
                <w:b/>
                <w:bCs/>
                <w:sz w:val="13"/>
                <w:szCs w:val="13"/>
                <w:lang w:eastAsia="es-MX"/>
              </w:rPr>
            </w:pPr>
            <w:r w:rsidRPr="007D1689">
              <w:rPr>
                <w:b/>
                <w:bCs/>
                <w:sz w:val="13"/>
                <w:szCs w:val="13"/>
                <w:lang w:eastAsia="es-MX"/>
              </w:rPr>
              <w:t>Transferencias del Fondo Mexicano del Petróleo para la Estabilización y el Desarrollo</w:t>
            </w:r>
          </w:p>
        </w:tc>
        <w:tc>
          <w:tcPr>
            <w:tcW w:w="780" w:type="dxa"/>
            <w:shd w:val="clear" w:color="auto" w:fill="auto"/>
            <w:noWrap/>
          </w:tcPr>
          <w:p w14:paraId="2401F066" w14:textId="77777777" w:rsidR="00896338" w:rsidRPr="007D1689" w:rsidRDefault="00896338" w:rsidP="007D1689">
            <w:pPr>
              <w:pStyle w:val="Texto"/>
              <w:ind w:firstLine="0"/>
              <w:jc w:val="right"/>
              <w:rPr>
                <w:sz w:val="13"/>
                <w:szCs w:val="13"/>
                <w:lang w:eastAsia="es-MX"/>
              </w:rPr>
            </w:pPr>
            <w:r w:rsidRPr="007D1689">
              <w:rPr>
                <w:sz w:val="13"/>
                <w:szCs w:val="13"/>
              </w:rPr>
              <w:t>29,395.4</w:t>
            </w:r>
          </w:p>
        </w:tc>
        <w:tc>
          <w:tcPr>
            <w:tcW w:w="780" w:type="dxa"/>
            <w:shd w:val="clear" w:color="auto" w:fill="auto"/>
            <w:noWrap/>
          </w:tcPr>
          <w:p w14:paraId="7970434E" w14:textId="77777777" w:rsidR="00896338" w:rsidRPr="007D1689" w:rsidRDefault="00896338" w:rsidP="007D1689">
            <w:pPr>
              <w:pStyle w:val="Texto"/>
              <w:ind w:firstLine="0"/>
              <w:jc w:val="right"/>
              <w:rPr>
                <w:sz w:val="13"/>
                <w:szCs w:val="13"/>
                <w:lang w:eastAsia="es-MX"/>
              </w:rPr>
            </w:pPr>
            <w:r w:rsidRPr="007D1689">
              <w:rPr>
                <w:sz w:val="13"/>
                <w:szCs w:val="13"/>
              </w:rPr>
              <w:t>31,475.7</w:t>
            </w:r>
          </w:p>
        </w:tc>
        <w:tc>
          <w:tcPr>
            <w:tcW w:w="932" w:type="dxa"/>
            <w:shd w:val="clear" w:color="auto" w:fill="auto"/>
            <w:noWrap/>
          </w:tcPr>
          <w:p w14:paraId="62D307C3" w14:textId="77777777" w:rsidR="00896338" w:rsidRPr="007D1689" w:rsidRDefault="00896338" w:rsidP="007D1689">
            <w:pPr>
              <w:pStyle w:val="Texto"/>
              <w:ind w:firstLine="0"/>
              <w:jc w:val="right"/>
              <w:rPr>
                <w:sz w:val="13"/>
                <w:szCs w:val="13"/>
                <w:lang w:eastAsia="es-MX"/>
              </w:rPr>
            </w:pPr>
            <w:r w:rsidRPr="007D1689">
              <w:rPr>
                <w:sz w:val="13"/>
                <w:szCs w:val="13"/>
              </w:rPr>
              <w:t>32,277.6</w:t>
            </w:r>
          </w:p>
        </w:tc>
        <w:tc>
          <w:tcPr>
            <w:tcW w:w="780" w:type="dxa"/>
            <w:shd w:val="clear" w:color="auto" w:fill="auto"/>
            <w:noWrap/>
          </w:tcPr>
          <w:p w14:paraId="54DDAA91" w14:textId="77777777" w:rsidR="00896338" w:rsidRPr="007D1689" w:rsidRDefault="00896338" w:rsidP="007D1689">
            <w:pPr>
              <w:pStyle w:val="Texto"/>
              <w:ind w:firstLine="0"/>
              <w:jc w:val="right"/>
              <w:rPr>
                <w:sz w:val="13"/>
                <w:szCs w:val="13"/>
                <w:lang w:eastAsia="es-MX"/>
              </w:rPr>
            </w:pPr>
            <w:r w:rsidRPr="007D1689">
              <w:rPr>
                <w:sz w:val="13"/>
                <w:szCs w:val="13"/>
              </w:rPr>
              <w:t>31,762.9</w:t>
            </w:r>
          </w:p>
        </w:tc>
        <w:tc>
          <w:tcPr>
            <w:tcW w:w="885" w:type="dxa"/>
            <w:shd w:val="clear" w:color="auto" w:fill="auto"/>
            <w:noWrap/>
          </w:tcPr>
          <w:p w14:paraId="56E557A3" w14:textId="77777777" w:rsidR="00896338" w:rsidRPr="007D1689" w:rsidRDefault="00896338" w:rsidP="007D1689">
            <w:pPr>
              <w:pStyle w:val="Texto"/>
              <w:ind w:firstLine="0"/>
              <w:jc w:val="right"/>
              <w:rPr>
                <w:sz w:val="13"/>
                <w:szCs w:val="13"/>
                <w:lang w:eastAsia="es-MX"/>
              </w:rPr>
            </w:pPr>
            <w:r w:rsidRPr="007D1689">
              <w:rPr>
                <w:sz w:val="13"/>
                <w:szCs w:val="13"/>
              </w:rPr>
              <w:t>32,883.7</w:t>
            </w:r>
          </w:p>
        </w:tc>
        <w:tc>
          <w:tcPr>
            <w:tcW w:w="859" w:type="dxa"/>
            <w:shd w:val="clear" w:color="auto" w:fill="auto"/>
            <w:noWrap/>
          </w:tcPr>
          <w:p w14:paraId="375FF5B0" w14:textId="77777777" w:rsidR="00896338" w:rsidRPr="007D1689" w:rsidRDefault="00896338" w:rsidP="007D1689">
            <w:pPr>
              <w:pStyle w:val="Texto"/>
              <w:ind w:firstLine="0"/>
              <w:jc w:val="right"/>
              <w:rPr>
                <w:sz w:val="13"/>
                <w:szCs w:val="13"/>
                <w:lang w:eastAsia="es-MX"/>
              </w:rPr>
            </w:pPr>
            <w:r w:rsidRPr="007D1689">
              <w:rPr>
                <w:sz w:val="13"/>
                <w:szCs w:val="13"/>
              </w:rPr>
              <w:t>31,344.1</w:t>
            </w:r>
          </w:p>
        </w:tc>
        <w:tc>
          <w:tcPr>
            <w:tcW w:w="1009" w:type="dxa"/>
            <w:shd w:val="clear" w:color="auto" w:fill="auto"/>
            <w:noWrap/>
          </w:tcPr>
          <w:p w14:paraId="776122DF" w14:textId="77777777" w:rsidR="00896338" w:rsidRPr="007D1689" w:rsidRDefault="00896338" w:rsidP="007D1689">
            <w:pPr>
              <w:pStyle w:val="Texto"/>
              <w:ind w:firstLine="0"/>
              <w:jc w:val="right"/>
              <w:rPr>
                <w:sz w:val="13"/>
                <w:szCs w:val="13"/>
                <w:lang w:eastAsia="es-MX"/>
              </w:rPr>
            </w:pPr>
            <w:r w:rsidRPr="007D1689">
              <w:rPr>
                <w:sz w:val="13"/>
                <w:szCs w:val="13"/>
              </w:rPr>
              <w:t>343,039.0</w:t>
            </w:r>
          </w:p>
        </w:tc>
      </w:tr>
    </w:tbl>
    <w:p w14:paraId="2D4BAB13" w14:textId="77777777" w:rsidR="005D3C09" w:rsidRPr="005D3C09" w:rsidRDefault="005D3C09">
      <w:pPr>
        <w:rPr>
          <w:sz w:val="2"/>
        </w:rPr>
      </w:pP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7"/>
        <w:gridCol w:w="780"/>
        <w:gridCol w:w="780"/>
        <w:gridCol w:w="932"/>
        <w:gridCol w:w="780"/>
        <w:gridCol w:w="885"/>
        <w:gridCol w:w="859"/>
        <w:gridCol w:w="1009"/>
      </w:tblGrid>
      <w:tr w:rsidR="00896338" w:rsidRPr="00054A7A" w14:paraId="785A5F60" w14:textId="77777777">
        <w:trPr>
          <w:trHeight w:val="20"/>
          <w:jc w:val="center"/>
        </w:trPr>
        <w:tc>
          <w:tcPr>
            <w:tcW w:w="2687" w:type="dxa"/>
            <w:shd w:val="clear" w:color="auto" w:fill="auto"/>
            <w:vAlign w:val="center"/>
          </w:tcPr>
          <w:p w14:paraId="4AEEC8AD" w14:textId="77777777" w:rsidR="00896338" w:rsidRPr="007D1689" w:rsidRDefault="00896338" w:rsidP="007D1689">
            <w:pPr>
              <w:pStyle w:val="Texto"/>
              <w:ind w:left="288" w:firstLine="0"/>
              <w:rPr>
                <w:b/>
                <w:bCs/>
                <w:sz w:val="13"/>
                <w:szCs w:val="13"/>
                <w:lang w:eastAsia="es-MX"/>
              </w:rPr>
            </w:pPr>
            <w:r w:rsidRPr="007D1689">
              <w:rPr>
                <w:b/>
                <w:bCs/>
                <w:sz w:val="13"/>
                <w:szCs w:val="13"/>
                <w:lang w:eastAsia="es-MX"/>
              </w:rPr>
              <w:t>Otros 3_/</w:t>
            </w:r>
          </w:p>
        </w:tc>
        <w:tc>
          <w:tcPr>
            <w:tcW w:w="780" w:type="dxa"/>
            <w:shd w:val="clear" w:color="auto" w:fill="auto"/>
            <w:noWrap/>
          </w:tcPr>
          <w:p w14:paraId="45956758" w14:textId="77777777" w:rsidR="00896338" w:rsidRPr="007D1689" w:rsidRDefault="00896338" w:rsidP="007D1689">
            <w:pPr>
              <w:pStyle w:val="Texto"/>
              <w:ind w:firstLine="0"/>
              <w:jc w:val="right"/>
              <w:rPr>
                <w:sz w:val="13"/>
                <w:szCs w:val="13"/>
                <w:lang w:eastAsia="es-MX"/>
              </w:rPr>
            </w:pPr>
            <w:r w:rsidRPr="007D1689">
              <w:rPr>
                <w:sz w:val="13"/>
                <w:szCs w:val="13"/>
              </w:rPr>
              <w:t>603.7</w:t>
            </w:r>
          </w:p>
        </w:tc>
        <w:tc>
          <w:tcPr>
            <w:tcW w:w="780" w:type="dxa"/>
            <w:shd w:val="clear" w:color="auto" w:fill="auto"/>
            <w:noWrap/>
          </w:tcPr>
          <w:p w14:paraId="0FAA7449" w14:textId="77777777" w:rsidR="00896338" w:rsidRPr="007D1689" w:rsidRDefault="00896338" w:rsidP="007D1689">
            <w:pPr>
              <w:pStyle w:val="Texto"/>
              <w:ind w:firstLine="0"/>
              <w:jc w:val="right"/>
              <w:rPr>
                <w:sz w:val="13"/>
                <w:szCs w:val="13"/>
                <w:lang w:eastAsia="es-MX"/>
              </w:rPr>
            </w:pPr>
            <w:r w:rsidRPr="007D1689">
              <w:rPr>
                <w:sz w:val="13"/>
                <w:szCs w:val="13"/>
              </w:rPr>
              <w:t>662.9</w:t>
            </w:r>
          </w:p>
        </w:tc>
        <w:tc>
          <w:tcPr>
            <w:tcW w:w="932" w:type="dxa"/>
            <w:shd w:val="clear" w:color="auto" w:fill="auto"/>
            <w:noWrap/>
          </w:tcPr>
          <w:p w14:paraId="193BDBC7" w14:textId="77777777" w:rsidR="00896338" w:rsidRPr="007D1689" w:rsidRDefault="00896338" w:rsidP="007D1689">
            <w:pPr>
              <w:pStyle w:val="Texto"/>
              <w:ind w:firstLine="0"/>
              <w:jc w:val="right"/>
              <w:rPr>
                <w:sz w:val="13"/>
                <w:szCs w:val="13"/>
                <w:lang w:eastAsia="es-MX"/>
              </w:rPr>
            </w:pPr>
            <w:r w:rsidRPr="007D1689">
              <w:rPr>
                <w:sz w:val="13"/>
                <w:szCs w:val="13"/>
              </w:rPr>
              <w:t>616.0</w:t>
            </w:r>
          </w:p>
        </w:tc>
        <w:tc>
          <w:tcPr>
            <w:tcW w:w="780" w:type="dxa"/>
            <w:shd w:val="clear" w:color="auto" w:fill="auto"/>
            <w:noWrap/>
          </w:tcPr>
          <w:p w14:paraId="286B312B" w14:textId="77777777" w:rsidR="00896338" w:rsidRPr="007D1689" w:rsidRDefault="00896338" w:rsidP="007D1689">
            <w:pPr>
              <w:pStyle w:val="Texto"/>
              <w:ind w:firstLine="0"/>
              <w:jc w:val="right"/>
              <w:rPr>
                <w:sz w:val="13"/>
                <w:szCs w:val="13"/>
                <w:lang w:eastAsia="es-MX"/>
              </w:rPr>
            </w:pPr>
            <w:r w:rsidRPr="007D1689">
              <w:rPr>
                <w:sz w:val="13"/>
                <w:szCs w:val="13"/>
              </w:rPr>
              <w:t>692.2</w:t>
            </w:r>
          </w:p>
        </w:tc>
        <w:tc>
          <w:tcPr>
            <w:tcW w:w="885" w:type="dxa"/>
            <w:shd w:val="clear" w:color="auto" w:fill="auto"/>
            <w:noWrap/>
          </w:tcPr>
          <w:p w14:paraId="334A0A3A" w14:textId="77777777" w:rsidR="00896338" w:rsidRPr="007D1689" w:rsidRDefault="00896338" w:rsidP="007D1689">
            <w:pPr>
              <w:pStyle w:val="Texto"/>
              <w:ind w:firstLine="0"/>
              <w:jc w:val="right"/>
              <w:rPr>
                <w:sz w:val="13"/>
                <w:szCs w:val="13"/>
                <w:lang w:eastAsia="es-MX"/>
              </w:rPr>
            </w:pPr>
            <w:r w:rsidRPr="007D1689">
              <w:rPr>
                <w:sz w:val="13"/>
                <w:szCs w:val="13"/>
              </w:rPr>
              <w:t>640.4</w:t>
            </w:r>
          </w:p>
        </w:tc>
        <w:tc>
          <w:tcPr>
            <w:tcW w:w="859" w:type="dxa"/>
            <w:shd w:val="clear" w:color="auto" w:fill="auto"/>
            <w:noWrap/>
          </w:tcPr>
          <w:p w14:paraId="3A77111D" w14:textId="77777777" w:rsidR="00896338" w:rsidRPr="007D1689" w:rsidRDefault="00896338" w:rsidP="007D1689">
            <w:pPr>
              <w:pStyle w:val="Texto"/>
              <w:ind w:firstLine="0"/>
              <w:jc w:val="right"/>
              <w:rPr>
                <w:sz w:val="13"/>
                <w:szCs w:val="13"/>
                <w:lang w:eastAsia="es-MX"/>
              </w:rPr>
            </w:pPr>
            <w:r w:rsidRPr="007D1689">
              <w:rPr>
                <w:sz w:val="13"/>
                <w:szCs w:val="13"/>
              </w:rPr>
              <w:t>974.3</w:t>
            </w:r>
          </w:p>
        </w:tc>
        <w:tc>
          <w:tcPr>
            <w:tcW w:w="1009" w:type="dxa"/>
            <w:shd w:val="clear" w:color="auto" w:fill="auto"/>
            <w:noWrap/>
          </w:tcPr>
          <w:p w14:paraId="04D8484D" w14:textId="77777777" w:rsidR="00896338" w:rsidRPr="007D1689" w:rsidRDefault="00896338" w:rsidP="007D1689">
            <w:pPr>
              <w:pStyle w:val="Texto"/>
              <w:ind w:firstLine="0"/>
              <w:jc w:val="right"/>
              <w:rPr>
                <w:sz w:val="13"/>
                <w:szCs w:val="13"/>
                <w:lang w:eastAsia="es-MX"/>
              </w:rPr>
            </w:pPr>
            <w:r w:rsidRPr="007D1689">
              <w:rPr>
                <w:sz w:val="13"/>
                <w:szCs w:val="13"/>
              </w:rPr>
              <w:t>9,422.8</w:t>
            </w:r>
          </w:p>
        </w:tc>
      </w:tr>
      <w:tr w:rsidR="00896338" w:rsidRPr="00054A7A" w14:paraId="0C798A23" w14:textId="77777777">
        <w:trPr>
          <w:trHeight w:val="20"/>
          <w:jc w:val="center"/>
        </w:trPr>
        <w:tc>
          <w:tcPr>
            <w:tcW w:w="2687" w:type="dxa"/>
            <w:shd w:val="clear" w:color="auto" w:fill="auto"/>
            <w:vAlign w:val="center"/>
          </w:tcPr>
          <w:p w14:paraId="3E09E8ED" w14:textId="77777777" w:rsidR="00896338" w:rsidRPr="007D1689" w:rsidRDefault="00896338" w:rsidP="007D1689">
            <w:pPr>
              <w:pStyle w:val="Texto"/>
              <w:ind w:firstLine="144"/>
              <w:rPr>
                <w:b/>
                <w:bCs/>
                <w:sz w:val="13"/>
                <w:szCs w:val="13"/>
                <w:lang w:eastAsia="es-MX"/>
              </w:rPr>
            </w:pPr>
            <w:r w:rsidRPr="007D1689">
              <w:rPr>
                <w:b/>
                <w:bCs/>
                <w:sz w:val="13"/>
                <w:szCs w:val="13"/>
                <w:lang w:eastAsia="es-MX"/>
              </w:rPr>
              <w:t>Ingresos de Organismos y Empresas</w:t>
            </w:r>
          </w:p>
        </w:tc>
        <w:tc>
          <w:tcPr>
            <w:tcW w:w="780" w:type="dxa"/>
            <w:shd w:val="clear" w:color="auto" w:fill="auto"/>
            <w:noWrap/>
          </w:tcPr>
          <w:p w14:paraId="1D399A1A" w14:textId="77777777" w:rsidR="00896338" w:rsidRPr="007D1689" w:rsidRDefault="00896338" w:rsidP="007D1689">
            <w:pPr>
              <w:pStyle w:val="Texto"/>
              <w:ind w:firstLine="0"/>
              <w:jc w:val="right"/>
              <w:rPr>
                <w:sz w:val="13"/>
                <w:szCs w:val="13"/>
                <w:lang w:eastAsia="es-MX"/>
              </w:rPr>
            </w:pPr>
            <w:r w:rsidRPr="007D1689">
              <w:rPr>
                <w:sz w:val="13"/>
                <w:szCs w:val="13"/>
              </w:rPr>
              <w:t>116,907.6</w:t>
            </w:r>
          </w:p>
        </w:tc>
        <w:tc>
          <w:tcPr>
            <w:tcW w:w="780" w:type="dxa"/>
            <w:shd w:val="clear" w:color="auto" w:fill="auto"/>
            <w:noWrap/>
          </w:tcPr>
          <w:p w14:paraId="45D98E4B" w14:textId="77777777" w:rsidR="00896338" w:rsidRPr="007D1689" w:rsidRDefault="00896338" w:rsidP="007D1689">
            <w:pPr>
              <w:pStyle w:val="Texto"/>
              <w:ind w:firstLine="0"/>
              <w:jc w:val="right"/>
              <w:rPr>
                <w:sz w:val="13"/>
                <w:szCs w:val="13"/>
                <w:lang w:eastAsia="es-MX"/>
              </w:rPr>
            </w:pPr>
            <w:r w:rsidRPr="007D1689">
              <w:rPr>
                <w:sz w:val="13"/>
                <w:szCs w:val="13"/>
              </w:rPr>
              <w:t>123,578.7</w:t>
            </w:r>
          </w:p>
        </w:tc>
        <w:tc>
          <w:tcPr>
            <w:tcW w:w="932" w:type="dxa"/>
            <w:shd w:val="clear" w:color="auto" w:fill="auto"/>
            <w:noWrap/>
          </w:tcPr>
          <w:p w14:paraId="4634AB96" w14:textId="77777777" w:rsidR="00896338" w:rsidRPr="007D1689" w:rsidRDefault="00896338" w:rsidP="007D1689">
            <w:pPr>
              <w:pStyle w:val="Texto"/>
              <w:ind w:firstLine="0"/>
              <w:jc w:val="right"/>
              <w:rPr>
                <w:sz w:val="13"/>
                <w:szCs w:val="13"/>
                <w:lang w:eastAsia="es-MX"/>
              </w:rPr>
            </w:pPr>
            <w:r w:rsidRPr="007D1689">
              <w:rPr>
                <w:sz w:val="13"/>
                <w:szCs w:val="13"/>
              </w:rPr>
              <w:t>116,186.1</w:t>
            </w:r>
          </w:p>
        </w:tc>
        <w:tc>
          <w:tcPr>
            <w:tcW w:w="780" w:type="dxa"/>
            <w:shd w:val="clear" w:color="auto" w:fill="auto"/>
            <w:noWrap/>
          </w:tcPr>
          <w:p w14:paraId="6DA77940" w14:textId="77777777" w:rsidR="00896338" w:rsidRPr="007D1689" w:rsidRDefault="00896338" w:rsidP="007D1689">
            <w:pPr>
              <w:pStyle w:val="Texto"/>
              <w:ind w:firstLine="0"/>
              <w:jc w:val="right"/>
              <w:rPr>
                <w:sz w:val="13"/>
                <w:szCs w:val="13"/>
                <w:lang w:eastAsia="es-MX"/>
              </w:rPr>
            </w:pPr>
            <w:r w:rsidRPr="007D1689">
              <w:rPr>
                <w:sz w:val="13"/>
                <w:szCs w:val="13"/>
              </w:rPr>
              <w:t>128,482.9</w:t>
            </w:r>
          </w:p>
        </w:tc>
        <w:tc>
          <w:tcPr>
            <w:tcW w:w="885" w:type="dxa"/>
            <w:shd w:val="clear" w:color="auto" w:fill="auto"/>
            <w:noWrap/>
          </w:tcPr>
          <w:p w14:paraId="4CE36B55" w14:textId="77777777" w:rsidR="00896338" w:rsidRPr="007D1689" w:rsidRDefault="00896338" w:rsidP="007D1689">
            <w:pPr>
              <w:pStyle w:val="Texto"/>
              <w:ind w:firstLine="0"/>
              <w:jc w:val="right"/>
              <w:rPr>
                <w:sz w:val="13"/>
                <w:szCs w:val="13"/>
                <w:lang w:eastAsia="es-MX"/>
              </w:rPr>
            </w:pPr>
            <w:r w:rsidRPr="007D1689">
              <w:rPr>
                <w:sz w:val="13"/>
                <w:szCs w:val="13"/>
              </w:rPr>
              <w:t>115,741.8</w:t>
            </w:r>
          </w:p>
        </w:tc>
        <w:tc>
          <w:tcPr>
            <w:tcW w:w="859" w:type="dxa"/>
            <w:shd w:val="clear" w:color="auto" w:fill="auto"/>
            <w:noWrap/>
          </w:tcPr>
          <w:p w14:paraId="4B99890D" w14:textId="77777777" w:rsidR="00896338" w:rsidRPr="007D1689" w:rsidRDefault="00896338" w:rsidP="007D1689">
            <w:pPr>
              <w:pStyle w:val="Texto"/>
              <w:ind w:firstLine="0"/>
              <w:jc w:val="right"/>
              <w:rPr>
                <w:sz w:val="13"/>
                <w:szCs w:val="13"/>
                <w:lang w:eastAsia="es-MX"/>
              </w:rPr>
            </w:pPr>
            <w:r w:rsidRPr="007D1689">
              <w:rPr>
                <w:sz w:val="13"/>
                <w:szCs w:val="13"/>
              </w:rPr>
              <w:t>132,295.7</w:t>
            </w:r>
          </w:p>
        </w:tc>
        <w:tc>
          <w:tcPr>
            <w:tcW w:w="1009" w:type="dxa"/>
            <w:shd w:val="clear" w:color="auto" w:fill="auto"/>
            <w:noWrap/>
          </w:tcPr>
          <w:p w14:paraId="5C2B8426" w14:textId="77777777" w:rsidR="00896338" w:rsidRPr="007D1689" w:rsidRDefault="00896338" w:rsidP="007D1689">
            <w:pPr>
              <w:pStyle w:val="Texto"/>
              <w:ind w:firstLine="0"/>
              <w:jc w:val="right"/>
              <w:rPr>
                <w:sz w:val="13"/>
                <w:szCs w:val="13"/>
                <w:lang w:eastAsia="es-MX"/>
              </w:rPr>
            </w:pPr>
            <w:r w:rsidRPr="007D1689">
              <w:rPr>
                <w:sz w:val="13"/>
                <w:szCs w:val="13"/>
              </w:rPr>
              <w:t>1,458,727.8</w:t>
            </w:r>
          </w:p>
        </w:tc>
      </w:tr>
      <w:tr w:rsidR="00896338" w:rsidRPr="00054A7A" w14:paraId="7A4672CC" w14:textId="77777777">
        <w:trPr>
          <w:trHeight w:val="20"/>
          <w:jc w:val="center"/>
        </w:trPr>
        <w:tc>
          <w:tcPr>
            <w:tcW w:w="2687" w:type="dxa"/>
            <w:shd w:val="clear" w:color="auto" w:fill="auto"/>
            <w:vAlign w:val="center"/>
          </w:tcPr>
          <w:p w14:paraId="2DB51C82" w14:textId="77777777" w:rsidR="00896338" w:rsidRPr="007D1689" w:rsidRDefault="00896338" w:rsidP="007D1689">
            <w:pPr>
              <w:pStyle w:val="Texto"/>
              <w:ind w:left="288" w:firstLine="0"/>
              <w:rPr>
                <w:b/>
                <w:bCs/>
                <w:sz w:val="13"/>
                <w:szCs w:val="13"/>
                <w:lang w:eastAsia="es-MX"/>
              </w:rPr>
            </w:pPr>
            <w:r w:rsidRPr="007D1689">
              <w:rPr>
                <w:b/>
                <w:bCs/>
                <w:sz w:val="13"/>
                <w:szCs w:val="13"/>
                <w:lang w:eastAsia="es-MX"/>
              </w:rPr>
              <w:t>Ingresos Propios de Organismos y</w:t>
            </w:r>
            <w:r w:rsidR="007D1689">
              <w:rPr>
                <w:b/>
                <w:bCs/>
                <w:sz w:val="13"/>
                <w:szCs w:val="13"/>
                <w:lang w:eastAsia="es-MX"/>
              </w:rPr>
              <w:t xml:space="preserve"> </w:t>
            </w:r>
            <w:r w:rsidRPr="007D1689">
              <w:rPr>
                <w:b/>
                <w:bCs/>
                <w:sz w:val="13"/>
                <w:szCs w:val="13"/>
                <w:lang w:eastAsia="es-MX"/>
              </w:rPr>
              <w:t>Empresas</w:t>
            </w:r>
          </w:p>
        </w:tc>
        <w:tc>
          <w:tcPr>
            <w:tcW w:w="780" w:type="dxa"/>
            <w:shd w:val="clear" w:color="auto" w:fill="auto"/>
            <w:noWrap/>
          </w:tcPr>
          <w:p w14:paraId="18137F1F" w14:textId="77777777" w:rsidR="00896338" w:rsidRPr="007D1689" w:rsidRDefault="00896338" w:rsidP="007D1689">
            <w:pPr>
              <w:pStyle w:val="Texto"/>
              <w:ind w:firstLine="0"/>
              <w:jc w:val="right"/>
              <w:rPr>
                <w:sz w:val="13"/>
                <w:szCs w:val="13"/>
                <w:lang w:eastAsia="es-MX"/>
              </w:rPr>
            </w:pPr>
            <w:r w:rsidRPr="007D1689">
              <w:rPr>
                <w:sz w:val="13"/>
                <w:szCs w:val="13"/>
              </w:rPr>
              <w:t>85,802.5</w:t>
            </w:r>
          </w:p>
        </w:tc>
        <w:tc>
          <w:tcPr>
            <w:tcW w:w="780" w:type="dxa"/>
            <w:shd w:val="clear" w:color="auto" w:fill="auto"/>
            <w:noWrap/>
          </w:tcPr>
          <w:p w14:paraId="3F007E36" w14:textId="77777777" w:rsidR="00896338" w:rsidRPr="007D1689" w:rsidRDefault="00896338" w:rsidP="007D1689">
            <w:pPr>
              <w:pStyle w:val="Texto"/>
              <w:ind w:firstLine="0"/>
              <w:jc w:val="right"/>
              <w:rPr>
                <w:sz w:val="13"/>
                <w:szCs w:val="13"/>
                <w:lang w:eastAsia="es-MX"/>
              </w:rPr>
            </w:pPr>
            <w:r w:rsidRPr="007D1689">
              <w:rPr>
                <w:sz w:val="13"/>
                <w:szCs w:val="13"/>
              </w:rPr>
              <w:t>90,174.8</w:t>
            </w:r>
          </w:p>
        </w:tc>
        <w:tc>
          <w:tcPr>
            <w:tcW w:w="932" w:type="dxa"/>
            <w:shd w:val="clear" w:color="auto" w:fill="auto"/>
            <w:noWrap/>
          </w:tcPr>
          <w:p w14:paraId="10F6AF11" w14:textId="77777777" w:rsidR="00896338" w:rsidRPr="007D1689" w:rsidRDefault="00896338" w:rsidP="007D1689">
            <w:pPr>
              <w:pStyle w:val="Texto"/>
              <w:ind w:firstLine="0"/>
              <w:jc w:val="right"/>
              <w:rPr>
                <w:sz w:val="13"/>
                <w:szCs w:val="13"/>
                <w:lang w:eastAsia="es-MX"/>
              </w:rPr>
            </w:pPr>
            <w:r w:rsidRPr="007D1689">
              <w:rPr>
                <w:sz w:val="13"/>
                <w:szCs w:val="13"/>
              </w:rPr>
              <w:t>83,496.8</w:t>
            </w:r>
          </w:p>
        </w:tc>
        <w:tc>
          <w:tcPr>
            <w:tcW w:w="780" w:type="dxa"/>
            <w:shd w:val="clear" w:color="auto" w:fill="auto"/>
            <w:noWrap/>
          </w:tcPr>
          <w:p w14:paraId="62A6E3A9" w14:textId="77777777" w:rsidR="00896338" w:rsidRPr="007D1689" w:rsidRDefault="00896338" w:rsidP="007D1689">
            <w:pPr>
              <w:pStyle w:val="Texto"/>
              <w:ind w:firstLine="0"/>
              <w:jc w:val="right"/>
              <w:rPr>
                <w:sz w:val="13"/>
                <w:szCs w:val="13"/>
                <w:lang w:eastAsia="es-MX"/>
              </w:rPr>
            </w:pPr>
            <w:r w:rsidRPr="007D1689">
              <w:rPr>
                <w:sz w:val="13"/>
                <w:szCs w:val="13"/>
              </w:rPr>
              <w:t>96,490.3</w:t>
            </w:r>
          </w:p>
        </w:tc>
        <w:tc>
          <w:tcPr>
            <w:tcW w:w="885" w:type="dxa"/>
            <w:shd w:val="clear" w:color="auto" w:fill="auto"/>
            <w:noWrap/>
          </w:tcPr>
          <w:p w14:paraId="3778A4FC" w14:textId="77777777" w:rsidR="00896338" w:rsidRPr="007D1689" w:rsidRDefault="00896338" w:rsidP="007D1689">
            <w:pPr>
              <w:pStyle w:val="Texto"/>
              <w:ind w:firstLine="0"/>
              <w:jc w:val="right"/>
              <w:rPr>
                <w:sz w:val="13"/>
                <w:szCs w:val="13"/>
                <w:lang w:eastAsia="es-MX"/>
              </w:rPr>
            </w:pPr>
            <w:r w:rsidRPr="007D1689">
              <w:rPr>
                <w:sz w:val="13"/>
                <w:szCs w:val="13"/>
              </w:rPr>
              <w:t>82,703.8</w:t>
            </w:r>
          </w:p>
        </w:tc>
        <w:tc>
          <w:tcPr>
            <w:tcW w:w="859" w:type="dxa"/>
            <w:shd w:val="clear" w:color="auto" w:fill="auto"/>
            <w:noWrap/>
          </w:tcPr>
          <w:p w14:paraId="2A5E222D" w14:textId="77777777" w:rsidR="00896338" w:rsidRPr="007D1689" w:rsidRDefault="00896338" w:rsidP="007D1689">
            <w:pPr>
              <w:pStyle w:val="Texto"/>
              <w:ind w:firstLine="0"/>
              <w:jc w:val="right"/>
              <w:rPr>
                <w:sz w:val="13"/>
                <w:szCs w:val="13"/>
                <w:lang w:eastAsia="es-MX"/>
              </w:rPr>
            </w:pPr>
            <w:r w:rsidRPr="007D1689">
              <w:rPr>
                <w:sz w:val="13"/>
                <w:szCs w:val="13"/>
              </w:rPr>
              <w:t>100,107.3</w:t>
            </w:r>
          </w:p>
        </w:tc>
        <w:tc>
          <w:tcPr>
            <w:tcW w:w="1009" w:type="dxa"/>
            <w:shd w:val="clear" w:color="auto" w:fill="auto"/>
            <w:noWrap/>
          </w:tcPr>
          <w:p w14:paraId="7851EEE3" w14:textId="77777777" w:rsidR="00896338" w:rsidRPr="007D1689" w:rsidRDefault="00896338" w:rsidP="007D1689">
            <w:pPr>
              <w:pStyle w:val="Texto"/>
              <w:ind w:firstLine="0"/>
              <w:jc w:val="right"/>
              <w:rPr>
                <w:sz w:val="13"/>
                <w:szCs w:val="13"/>
                <w:lang w:eastAsia="es-MX"/>
              </w:rPr>
            </w:pPr>
            <w:r w:rsidRPr="007D1689">
              <w:rPr>
                <w:sz w:val="13"/>
                <w:szCs w:val="13"/>
              </w:rPr>
              <w:t>1,076,892.0</w:t>
            </w:r>
          </w:p>
        </w:tc>
      </w:tr>
      <w:tr w:rsidR="00896338" w:rsidRPr="00054A7A" w14:paraId="3A154CA9" w14:textId="77777777">
        <w:trPr>
          <w:trHeight w:val="20"/>
          <w:jc w:val="center"/>
        </w:trPr>
        <w:tc>
          <w:tcPr>
            <w:tcW w:w="2687" w:type="dxa"/>
            <w:shd w:val="clear" w:color="auto" w:fill="auto"/>
            <w:vAlign w:val="center"/>
          </w:tcPr>
          <w:p w14:paraId="7BAEF185" w14:textId="77777777" w:rsidR="00896338" w:rsidRPr="007D1689" w:rsidRDefault="00896338" w:rsidP="007D1689">
            <w:pPr>
              <w:pStyle w:val="Texto"/>
              <w:ind w:left="432" w:firstLine="0"/>
              <w:rPr>
                <w:sz w:val="13"/>
                <w:szCs w:val="13"/>
                <w:lang w:eastAsia="es-MX"/>
              </w:rPr>
            </w:pPr>
            <w:r w:rsidRPr="007D1689">
              <w:rPr>
                <w:sz w:val="13"/>
                <w:szCs w:val="13"/>
                <w:lang w:eastAsia="es-MX"/>
              </w:rPr>
              <w:t>Petróleos Mexicanos</w:t>
            </w:r>
          </w:p>
        </w:tc>
        <w:tc>
          <w:tcPr>
            <w:tcW w:w="780" w:type="dxa"/>
            <w:shd w:val="clear" w:color="auto" w:fill="auto"/>
            <w:noWrap/>
          </w:tcPr>
          <w:p w14:paraId="01746D70" w14:textId="77777777" w:rsidR="00896338" w:rsidRPr="007D1689" w:rsidRDefault="00896338" w:rsidP="007D1689">
            <w:pPr>
              <w:pStyle w:val="Texto"/>
              <w:ind w:firstLine="0"/>
              <w:jc w:val="right"/>
              <w:rPr>
                <w:sz w:val="13"/>
                <w:szCs w:val="13"/>
                <w:lang w:eastAsia="es-MX"/>
              </w:rPr>
            </w:pPr>
            <w:r w:rsidRPr="007D1689">
              <w:rPr>
                <w:sz w:val="13"/>
                <w:szCs w:val="13"/>
              </w:rPr>
              <w:t>45,137.0</w:t>
            </w:r>
          </w:p>
        </w:tc>
        <w:tc>
          <w:tcPr>
            <w:tcW w:w="780" w:type="dxa"/>
            <w:shd w:val="clear" w:color="auto" w:fill="auto"/>
            <w:noWrap/>
          </w:tcPr>
          <w:p w14:paraId="6A970760" w14:textId="77777777" w:rsidR="00896338" w:rsidRPr="007D1689" w:rsidRDefault="00896338" w:rsidP="007D1689">
            <w:pPr>
              <w:pStyle w:val="Texto"/>
              <w:ind w:firstLine="0"/>
              <w:jc w:val="right"/>
              <w:rPr>
                <w:sz w:val="13"/>
                <w:szCs w:val="13"/>
                <w:lang w:eastAsia="es-MX"/>
              </w:rPr>
            </w:pPr>
            <w:r w:rsidRPr="007D1689">
              <w:rPr>
                <w:sz w:val="13"/>
                <w:szCs w:val="13"/>
              </w:rPr>
              <w:t>45,748.3</w:t>
            </w:r>
          </w:p>
        </w:tc>
        <w:tc>
          <w:tcPr>
            <w:tcW w:w="932" w:type="dxa"/>
            <w:shd w:val="clear" w:color="auto" w:fill="auto"/>
            <w:noWrap/>
          </w:tcPr>
          <w:p w14:paraId="3F02D5BA" w14:textId="77777777" w:rsidR="00896338" w:rsidRPr="007D1689" w:rsidRDefault="00896338" w:rsidP="007D1689">
            <w:pPr>
              <w:pStyle w:val="Texto"/>
              <w:ind w:firstLine="0"/>
              <w:jc w:val="right"/>
              <w:rPr>
                <w:sz w:val="13"/>
                <w:szCs w:val="13"/>
                <w:lang w:eastAsia="es-MX"/>
              </w:rPr>
            </w:pPr>
            <w:r w:rsidRPr="007D1689">
              <w:rPr>
                <w:sz w:val="13"/>
                <w:szCs w:val="13"/>
              </w:rPr>
              <w:t>37,790.6</w:t>
            </w:r>
          </w:p>
        </w:tc>
        <w:tc>
          <w:tcPr>
            <w:tcW w:w="780" w:type="dxa"/>
            <w:shd w:val="clear" w:color="auto" w:fill="auto"/>
            <w:noWrap/>
          </w:tcPr>
          <w:p w14:paraId="6ACE1C6E" w14:textId="77777777" w:rsidR="00896338" w:rsidRPr="007D1689" w:rsidRDefault="00896338" w:rsidP="007D1689">
            <w:pPr>
              <w:pStyle w:val="Texto"/>
              <w:ind w:firstLine="0"/>
              <w:jc w:val="right"/>
              <w:rPr>
                <w:sz w:val="13"/>
                <w:szCs w:val="13"/>
                <w:lang w:eastAsia="es-MX"/>
              </w:rPr>
            </w:pPr>
            <w:r w:rsidRPr="007D1689">
              <w:rPr>
                <w:sz w:val="13"/>
                <w:szCs w:val="13"/>
              </w:rPr>
              <w:t>55,292.9</w:t>
            </w:r>
          </w:p>
        </w:tc>
        <w:tc>
          <w:tcPr>
            <w:tcW w:w="885" w:type="dxa"/>
            <w:shd w:val="clear" w:color="auto" w:fill="auto"/>
            <w:noWrap/>
          </w:tcPr>
          <w:p w14:paraId="00259C54" w14:textId="77777777" w:rsidR="00896338" w:rsidRPr="007D1689" w:rsidRDefault="00896338" w:rsidP="007D1689">
            <w:pPr>
              <w:pStyle w:val="Texto"/>
              <w:ind w:firstLine="0"/>
              <w:jc w:val="right"/>
              <w:rPr>
                <w:sz w:val="13"/>
                <w:szCs w:val="13"/>
                <w:lang w:eastAsia="es-MX"/>
              </w:rPr>
            </w:pPr>
            <w:r w:rsidRPr="007D1689">
              <w:rPr>
                <w:sz w:val="13"/>
                <w:szCs w:val="13"/>
              </w:rPr>
              <w:t>44,732.4</w:t>
            </w:r>
          </w:p>
        </w:tc>
        <w:tc>
          <w:tcPr>
            <w:tcW w:w="859" w:type="dxa"/>
            <w:shd w:val="clear" w:color="auto" w:fill="auto"/>
            <w:noWrap/>
          </w:tcPr>
          <w:p w14:paraId="3DEAF970" w14:textId="77777777" w:rsidR="00896338" w:rsidRPr="007D1689" w:rsidRDefault="00896338" w:rsidP="007D1689">
            <w:pPr>
              <w:pStyle w:val="Texto"/>
              <w:ind w:firstLine="0"/>
              <w:jc w:val="right"/>
              <w:rPr>
                <w:sz w:val="13"/>
                <w:szCs w:val="13"/>
                <w:lang w:eastAsia="es-MX"/>
              </w:rPr>
            </w:pPr>
            <w:r w:rsidRPr="007D1689">
              <w:rPr>
                <w:sz w:val="13"/>
                <w:szCs w:val="13"/>
              </w:rPr>
              <w:t>53,485.5</w:t>
            </w:r>
          </w:p>
        </w:tc>
        <w:tc>
          <w:tcPr>
            <w:tcW w:w="1009" w:type="dxa"/>
            <w:shd w:val="clear" w:color="auto" w:fill="auto"/>
            <w:noWrap/>
          </w:tcPr>
          <w:p w14:paraId="7A701CFF" w14:textId="77777777" w:rsidR="00896338" w:rsidRPr="007D1689" w:rsidRDefault="00896338" w:rsidP="007D1689">
            <w:pPr>
              <w:pStyle w:val="Texto"/>
              <w:ind w:firstLine="0"/>
              <w:jc w:val="right"/>
              <w:rPr>
                <w:sz w:val="13"/>
                <w:szCs w:val="13"/>
                <w:lang w:eastAsia="es-MX"/>
              </w:rPr>
            </w:pPr>
            <w:r w:rsidRPr="007D1689">
              <w:rPr>
                <w:sz w:val="13"/>
                <w:szCs w:val="13"/>
              </w:rPr>
              <w:t>593,669.4</w:t>
            </w:r>
          </w:p>
        </w:tc>
      </w:tr>
      <w:tr w:rsidR="00896338" w:rsidRPr="00054A7A" w14:paraId="108772D4" w14:textId="77777777">
        <w:trPr>
          <w:trHeight w:val="20"/>
          <w:jc w:val="center"/>
        </w:trPr>
        <w:tc>
          <w:tcPr>
            <w:tcW w:w="2687" w:type="dxa"/>
            <w:shd w:val="clear" w:color="auto" w:fill="auto"/>
            <w:vAlign w:val="center"/>
          </w:tcPr>
          <w:p w14:paraId="5E2ACA22" w14:textId="77777777" w:rsidR="00896338" w:rsidRPr="007D1689" w:rsidRDefault="00896338" w:rsidP="007D1689">
            <w:pPr>
              <w:pStyle w:val="Texto"/>
              <w:ind w:left="432" w:firstLine="0"/>
              <w:rPr>
                <w:sz w:val="13"/>
                <w:szCs w:val="13"/>
                <w:lang w:eastAsia="es-MX"/>
              </w:rPr>
            </w:pPr>
            <w:r w:rsidRPr="007D1689">
              <w:rPr>
                <w:sz w:val="13"/>
                <w:szCs w:val="13"/>
                <w:lang w:eastAsia="es-MX"/>
              </w:rPr>
              <w:t>Comisión Federal de Electricidad</w:t>
            </w:r>
          </w:p>
        </w:tc>
        <w:tc>
          <w:tcPr>
            <w:tcW w:w="780" w:type="dxa"/>
            <w:shd w:val="clear" w:color="auto" w:fill="auto"/>
            <w:noWrap/>
          </w:tcPr>
          <w:p w14:paraId="2A9952EB" w14:textId="77777777" w:rsidR="00896338" w:rsidRPr="007D1689" w:rsidRDefault="00896338" w:rsidP="007D1689">
            <w:pPr>
              <w:pStyle w:val="Texto"/>
              <w:ind w:firstLine="0"/>
              <w:jc w:val="right"/>
              <w:rPr>
                <w:sz w:val="13"/>
                <w:szCs w:val="13"/>
                <w:lang w:eastAsia="es-MX"/>
              </w:rPr>
            </w:pPr>
            <w:r w:rsidRPr="007D1689">
              <w:rPr>
                <w:sz w:val="13"/>
                <w:szCs w:val="13"/>
              </w:rPr>
              <w:t>36,249.3</w:t>
            </w:r>
          </w:p>
        </w:tc>
        <w:tc>
          <w:tcPr>
            <w:tcW w:w="780" w:type="dxa"/>
            <w:shd w:val="clear" w:color="auto" w:fill="auto"/>
            <w:noWrap/>
          </w:tcPr>
          <w:p w14:paraId="570ECFAC" w14:textId="77777777" w:rsidR="00896338" w:rsidRPr="007D1689" w:rsidRDefault="00896338" w:rsidP="007D1689">
            <w:pPr>
              <w:pStyle w:val="Texto"/>
              <w:ind w:firstLine="0"/>
              <w:jc w:val="right"/>
              <w:rPr>
                <w:sz w:val="13"/>
                <w:szCs w:val="13"/>
                <w:lang w:eastAsia="es-MX"/>
              </w:rPr>
            </w:pPr>
            <w:r w:rsidRPr="007D1689">
              <w:rPr>
                <w:sz w:val="13"/>
                <w:szCs w:val="13"/>
              </w:rPr>
              <w:t>38,519.2</w:t>
            </w:r>
          </w:p>
        </w:tc>
        <w:tc>
          <w:tcPr>
            <w:tcW w:w="932" w:type="dxa"/>
            <w:shd w:val="clear" w:color="auto" w:fill="auto"/>
            <w:noWrap/>
          </w:tcPr>
          <w:p w14:paraId="6E41CC34" w14:textId="77777777" w:rsidR="00896338" w:rsidRPr="007D1689" w:rsidRDefault="00896338" w:rsidP="007D1689">
            <w:pPr>
              <w:pStyle w:val="Texto"/>
              <w:ind w:firstLine="0"/>
              <w:jc w:val="right"/>
              <w:rPr>
                <w:sz w:val="13"/>
                <w:szCs w:val="13"/>
                <w:lang w:eastAsia="es-MX"/>
              </w:rPr>
            </w:pPr>
            <w:r w:rsidRPr="007D1689">
              <w:rPr>
                <w:sz w:val="13"/>
                <w:szCs w:val="13"/>
              </w:rPr>
              <w:t>38,103.6</w:t>
            </w:r>
          </w:p>
        </w:tc>
        <w:tc>
          <w:tcPr>
            <w:tcW w:w="780" w:type="dxa"/>
            <w:shd w:val="clear" w:color="auto" w:fill="auto"/>
            <w:noWrap/>
          </w:tcPr>
          <w:p w14:paraId="6D43D51C" w14:textId="77777777" w:rsidR="00896338" w:rsidRPr="007D1689" w:rsidRDefault="00896338" w:rsidP="007D1689">
            <w:pPr>
              <w:pStyle w:val="Texto"/>
              <w:ind w:firstLine="0"/>
              <w:jc w:val="right"/>
              <w:rPr>
                <w:sz w:val="13"/>
                <w:szCs w:val="13"/>
                <w:lang w:eastAsia="es-MX"/>
              </w:rPr>
            </w:pPr>
            <w:r w:rsidRPr="007D1689">
              <w:rPr>
                <w:sz w:val="13"/>
                <w:szCs w:val="13"/>
              </w:rPr>
              <w:t>35,079.8</w:t>
            </w:r>
          </w:p>
        </w:tc>
        <w:tc>
          <w:tcPr>
            <w:tcW w:w="885" w:type="dxa"/>
            <w:shd w:val="clear" w:color="auto" w:fill="auto"/>
            <w:noWrap/>
          </w:tcPr>
          <w:p w14:paraId="5E537481" w14:textId="77777777" w:rsidR="00896338" w:rsidRPr="007D1689" w:rsidRDefault="00896338" w:rsidP="007D1689">
            <w:pPr>
              <w:pStyle w:val="Texto"/>
              <w:ind w:firstLine="0"/>
              <w:jc w:val="right"/>
              <w:rPr>
                <w:sz w:val="13"/>
                <w:szCs w:val="13"/>
                <w:lang w:eastAsia="es-MX"/>
              </w:rPr>
            </w:pPr>
            <w:r w:rsidRPr="007D1689">
              <w:rPr>
                <w:sz w:val="13"/>
                <w:szCs w:val="13"/>
              </w:rPr>
              <w:t>33,855.1</w:t>
            </w:r>
          </w:p>
        </w:tc>
        <w:tc>
          <w:tcPr>
            <w:tcW w:w="859" w:type="dxa"/>
            <w:shd w:val="clear" w:color="auto" w:fill="auto"/>
            <w:noWrap/>
          </w:tcPr>
          <w:p w14:paraId="42A950E7" w14:textId="77777777" w:rsidR="00896338" w:rsidRPr="007D1689" w:rsidRDefault="00896338" w:rsidP="007D1689">
            <w:pPr>
              <w:pStyle w:val="Texto"/>
              <w:ind w:firstLine="0"/>
              <w:jc w:val="right"/>
              <w:rPr>
                <w:sz w:val="13"/>
                <w:szCs w:val="13"/>
                <w:lang w:eastAsia="es-MX"/>
              </w:rPr>
            </w:pPr>
            <w:r w:rsidRPr="007D1689">
              <w:rPr>
                <w:sz w:val="13"/>
                <w:szCs w:val="13"/>
              </w:rPr>
              <w:t>31,906.3</w:t>
            </w:r>
          </w:p>
        </w:tc>
        <w:tc>
          <w:tcPr>
            <w:tcW w:w="1009" w:type="dxa"/>
            <w:shd w:val="clear" w:color="auto" w:fill="auto"/>
            <w:noWrap/>
          </w:tcPr>
          <w:p w14:paraId="7491982A" w14:textId="77777777" w:rsidR="00896338" w:rsidRPr="007D1689" w:rsidRDefault="00896338" w:rsidP="007D1689">
            <w:pPr>
              <w:pStyle w:val="Texto"/>
              <w:ind w:firstLine="0"/>
              <w:jc w:val="right"/>
              <w:rPr>
                <w:sz w:val="13"/>
                <w:szCs w:val="13"/>
                <w:lang w:eastAsia="es-MX"/>
              </w:rPr>
            </w:pPr>
            <w:r w:rsidRPr="007D1689">
              <w:rPr>
                <w:sz w:val="13"/>
                <w:szCs w:val="13"/>
              </w:rPr>
              <w:t>405,445.1</w:t>
            </w:r>
          </w:p>
        </w:tc>
      </w:tr>
      <w:tr w:rsidR="00896338" w:rsidRPr="00054A7A" w14:paraId="47ECD84A" w14:textId="77777777">
        <w:trPr>
          <w:trHeight w:val="20"/>
          <w:jc w:val="center"/>
        </w:trPr>
        <w:tc>
          <w:tcPr>
            <w:tcW w:w="2687" w:type="dxa"/>
            <w:shd w:val="clear" w:color="auto" w:fill="auto"/>
            <w:vAlign w:val="center"/>
          </w:tcPr>
          <w:p w14:paraId="374CF453" w14:textId="77777777" w:rsidR="00896338" w:rsidRPr="007D1689" w:rsidRDefault="00896338" w:rsidP="007D1689">
            <w:pPr>
              <w:pStyle w:val="Texto"/>
              <w:ind w:left="432" w:firstLine="0"/>
              <w:rPr>
                <w:sz w:val="13"/>
                <w:szCs w:val="13"/>
                <w:lang w:eastAsia="es-MX"/>
              </w:rPr>
            </w:pPr>
            <w:r w:rsidRPr="007D1689">
              <w:rPr>
                <w:sz w:val="13"/>
                <w:szCs w:val="13"/>
                <w:lang w:eastAsia="es-MX"/>
              </w:rPr>
              <w:t>Instituto Mexicano del Seguro Social</w:t>
            </w:r>
          </w:p>
        </w:tc>
        <w:tc>
          <w:tcPr>
            <w:tcW w:w="780" w:type="dxa"/>
            <w:shd w:val="clear" w:color="auto" w:fill="auto"/>
            <w:noWrap/>
          </w:tcPr>
          <w:p w14:paraId="1E45EEAB" w14:textId="77777777" w:rsidR="00896338" w:rsidRPr="007D1689" w:rsidRDefault="00896338" w:rsidP="007D1689">
            <w:pPr>
              <w:pStyle w:val="Texto"/>
              <w:ind w:firstLine="0"/>
              <w:jc w:val="right"/>
              <w:rPr>
                <w:sz w:val="13"/>
                <w:szCs w:val="13"/>
                <w:lang w:eastAsia="es-MX"/>
              </w:rPr>
            </w:pPr>
            <w:r w:rsidRPr="007D1689">
              <w:rPr>
                <w:sz w:val="13"/>
                <w:szCs w:val="13"/>
              </w:rPr>
              <w:t>1,190.3</w:t>
            </w:r>
          </w:p>
        </w:tc>
        <w:tc>
          <w:tcPr>
            <w:tcW w:w="780" w:type="dxa"/>
            <w:shd w:val="clear" w:color="auto" w:fill="auto"/>
            <w:noWrap/>
          </w:tcPr>
          <w:p w14:paraId="7BE1D9C7" w14:textId="77777777" w:rsidR="00896338" w:rsidRPr="007D1689" w:rsidRDefault="00896338" w:rsidP="007D1689">
            <w:pPr>
              <w:pStyle w:val="Texto"/>
              <w:ind w:firstLine="0"/>
              <w:jc w:val="right"/>
              <w:rPr>
                <w:sz w:val="13"/>
                <w:szCs w:val="13"/>
                <w:lang w:eastAsia="es-MX"/>
              </w:rPr>
            </w:pPr>
            <w:r w:rsidRPr="007D1689">
              <w:rPr>
                <w:sz w:val="13"/>
                <w:szCs w:val="13"/>
              </w:rPr>
              <w:t>1,013.0</w:t>
            </w:r>
          </w:p>
        </w:tc>
        <w:tc>
          <w:tcPr>
            <w:tcW w:w="932" w:type="dxa"/>
            <w:shd w:val="clear" w:color="auto" w:fill="auto"/>
            <w:noWrap/>
          </w:tcPr>
          <w:p w14:paraId="226CA852" w14:textId="77777777" w:rsidR="00896338" w:rsidRPr="007D1689" w:rsidRDefault="00896338" w:rsidP="007D1689">
            <w:pPr>
              <w:pStyle w:val="Texto"/>
              <w:ind w:firstLine="0"/>
              <w:jc w:val="right"/>
              <w:rPr>
                <w:sz w:val="13"/>
                <w:szCs w:val="13"/>
                <w:lang w:eastAsia="es-MX"/>
              </w:rPr>
            </w:pPr>
            <w:r w:rsidRPr="007D1689">
              <w:rPr>
                <w:sz w:val="13"/>
                <w:szCs w:val="13"/>
              </w:rPr>
              <w:t>4,326.1</w:t>
            </w:r>
          </w:p>
        </w:tc>
        <w:tc>
          <w:tcPr>
            <w:tcW w:w="780" w:type="dxa"/>
            <w:shd w:val="clear" w:color="auto" w:fill="auto"/>
            <w:noWrap/>
          </w:tcPr>
          <w:p w14:paraId="3D822389" w14:textId="77777777" w:rsidR="00896338" w:rsidRPr="007D1689" w:rsidRDefault="00896338" w:rsidP="007D1689">
            <w:pPr>
              <w:pStyle w:val="Texto"/>
              <w:ind w:firstLine="0"/>
              <w:jc w:val="right"/>
              <w:rPr>
                <w:sz w:val="13"/>
                <w:szCs w:val="13"/>
                <w:lang w:eastAsia="es-MX"/>
              </w:rPr>
            </w:pPr>
            <w:r w:rsidRPr="007D1689">
              <w:rPr>
                <w:sz w:val="13"/>
                <w:szCs w:val="13"/>
              </w:rPr>
              <w:t>960.6</w:t>
            </w:r>
          </w:p>
        </w:tc>
        <w:tc>
          <w:tcPr>
            <w:tcW w:w="885" w:type="dxa"/>
            <w:shd w:val="clear" w:color="auto" w:fill="auto"/>
            <w:noWrap/>
          </w:tcPr>
          <w:p w14:paraId="449A1F21" w14:textId="77777777" w:rsidR="00896338" w:rsidRPr="007D1689" w:rsidRDefault="00896338" w:rsidP="007D1689">
            <w:pPr>
              <w:pStyle w:val="Texto"/>
              <w:ind w:firstLine="0"/>
              <w:jc w:val="right"/>
              <w:rPr>
                <w:sz w:val="13"/>
                <w:szCs w:val="13"/>
                <w:lang w:eastAsia="es-MX"/>
              </w:rPr>
            </w:pPr>
            <w:r w:rsidRPr="007D1689">
              <w:rPr>
                <w:sz w:val="13"/>
                <w:szCs w:val="13"/>
              </w:rPr>
              <w:t>1,126.0</w:t>
            </w:r>
          </w:p>
        </w:tc>
        <w:tc>
          <w:tcPr>
            <w:tcW w:w="859" w:type="dxa"/>
            <w:shd w:val="clear" w:color="auto" w:fill="auto"/>
            <w:noWrap/>
          </w:tcPr>
          <w:p w14:paraId="67A8FF17" w14:textId="77777777" w:rsidR="00896338" w:rsidRPr="007D1689" w:rsidRDefault="00896338" w:rsidP="007D1689">
            <w:pPr>
              <w:pStyle w:val="Texto"/>
              <w:ind w:firstLine="0"/>
              <w:jc w:val="right"/>
              <w:rPr>
                <w:sz w:val="13"/>
                <w:szCs w:val="13"/>
                <w:lang w:eastAsia="es-MX"/>
              </w:rPr>
            </w:pPr>
            <w:r w:rsidRPr="007D1689">
              <w:rPr>
                <w:sz w:val="13"/>
                <w:szCs w:val="13"/>
              </w:rPr>
              <w:t>9,448.4</w:t>
            </w:r>
          </w:p>
        </w:tc>
        <w:tc>
          <w:tcPr>
            <w:tcW w:w="1009" w:type="dxa"/>
            <w:shd w:val="clear" w:color="auto" w:fill="auto"/>
            <w:noWrap/>
          </w:tcPr>
          <w:p w14:paraId="594F07D8" w14:textId="77777777" w:rsidR="00896338" w:rsidRPr="007D1689" w:rsidRDefault="00896338" w:rsidP="007D1689">
            <w:pPr>
              <w:pStyle w:val="Texto"/>
              <w:ind w:firstLine="0"/>
              <w:jc w:val="right"/>
              <w:rPr>
                <w:sz w:val="13"/>
                <w:szCs w:val="13"/>
                <w:lang w:eastAsia="es-MX"/>
              </w:rPr>
            </w:pPr>
            <w:r w:rsidRPr="007D1689">
              <w:rPr>
                <w:sz w:val="13"/>
                <w:szCs w:val="13"/>
              </w:rPr>
              <w:t>29,568.3</w:t>
            </w:r>
          </w:p>
        </w:tc>
      </w:tr>
      <w:tr w:rsidR="00896338" w:rsidRPr="00054A7A" w14:paraId="165E16BD" w14:textId="77777777">
        <w:trPr>
          <w:trHeight w:val="20"/>
          <w:jc w:val="center"/>
        </w:trPr>
        <w:tc>
          <w:tcPr>
            <w:tcW w:w="2687" w:type="dxa"/>
            <w:shd w:val="clear" w:color="auto" w:fill="auto"/>
            <w:vAlign w:val="center"/>
          </w:tcPr>
          <w:p w14:paraId="64325B28" w14:textId="77777777" w:rsidR="00896338" w:rsidRPr="007D1689" w:rsidRDefault="00896338" w:rsidP="007D1689">
            <w:pPr>
              <w:pStyle w:val="Texto"/>
              <w:ind w:left="432" w:firstLine="0"/>
              <w:rPr>
                <w:sz w:val="13"/>
                <w:szCs w:val="13"/>
                <w:lang w:eastAsia="es-MX"/>
              </w:rPr>
            </w:pPr>
            <w:r w:rsidRPr="007D1689">
              <w:rPr>
                <w:sz w:val="13"/>
                <w:szCs w:val="13"/>
                <w:lang w:eastAsia="es-MX"/>
              </w:rPr>
              <w:t>Instituto de Seguridad y Servicios Sociales de los Trabajadores del Estado</w:t>
            </w:r>
          </w:p>
        </w:tc>
        <w:tc>
          <w:tcPr>
            <w:tcW w:w="780" w:type="dxa"/>
            <w:shd w:val="clear" w:color="auto" w:fill="auto"/>
            <w:noWrap/>
          </w:tcPr>
          <w:p w14:paraId="7AE00A49" w14:textId="77777777" w:rsidR="00896338" w:rsidRPr="007D1689" w:rsidRDefault="00896338" w:rsidP="007D1689">
            <w:pPr>
              <w:pStyle w:val="Texto"/>
              <w:ind w:firstLine="0"/>
              <w:jc w:val="right"/>
              <w:rPr>
                <w:sz w:val="13"/>
                <w:szCs w:val="13"/>
                <w:lang w:eastAsia="es-MX"/>
              </w:rPr>
            </w:pPr>
            <w:r w:rsidRPr="007D1689">
              <w:rPr>
                <w:sz w:val="13"/>
                <w:szCs w:val="13"/>
              </w:rPr>
              <w:t>3,225.9</w:t>
            </w:r>
          </w:p>
        </w:tc>
        <w:tc>
          <w:tcPr>
            <w:tcW w:w="780" w:type="dxa"/>
            <w:shd w:val="clear" w:color="auto" w:fill="auto"/>
            <w:noWrap/>
          </w:tcPr>
          <w:p w14:paraId="7FF77CEA" w14:textId="77777777" w:rsidR="00896338" w:rsidRPr="007D1689" w:rsidRDefault="00896338" w:rsidP="007D1689">
            <w:pPr>
              <w:pStyle w:val="Texto"/>
              <w:ind w:firstLine="0"/>
              <w:jc w:val="right"/>
              <w:rPr>
                <w:sz w:val="13"/>
                <w:szCs w:val="13"/>
                <w:lang w:eastAsia="es-MX"/>
              </w:rPr>
            </w:pPr>
            <w:r w:rsidRPr="007D1689">
              <w:rPr>
                <w:sz w:val="13"/>
                <w:szCs w:val="13"/>
              </w:rPr>
              <w:t>4,894.3</w:t>
            </w:r>
          </w:p>
        </w:tc>
        <w:tc>
          <w:tcPr>
            <w:tcW w:w="932" w:type="dxa"/>
            <w:shd w:val="clear" w:color="auto" w:fill="auto"/>
            <w:noWrap/>
          </w:tcPr>
          <w:p w14:paraId="54801A83" w14:textId="77777777" w:rsidR="00896338" w:rsidRPr="007D1689" w:rsidRDefault="00896338" w:rsidP="007D1689">
            <w:pPr>
              <w:pStyle w:val="Texto"/>
              <w:ind w:firstLine="0"/>
              <w:jc w:val="right"/>
              <w:rPr>
                <w:sz w:val="13"/>
                <w:szCs w:val="13"/>
                <w:lang w:eastAsia="es-MX"/>
              </w:rPr>
            </w:pPr>
            <w:r w:rsidRPr="007D1689">
              <w:rPr>
                <w:sz w:val="13"/>
                <w:szCs w:val="13"/>
              </w:rPr>
              <w:t>3,276.5</w:t>
            </w:r>
          </w:p>
        </w:tc>
        <w:tc>
          <w:tcPr>
            <w:tcW w:w="780" w:type="dxa"/>
            <w:shd w:val="clear" w:color="auto" w:fill="auto"/>
            <w:noWrap/>
          </w:tcPr>
          <w:p w14:paraId="5185F705" w14:textId="77777777" w:rsidR="00896338" w:rsidRPr="007D1689" w:rsidRDefault="00896338" w:rsidP="007D1689">
            <w:pPr>
              <w:pStyle w:val="Texto"/>
              <w:ind w:firstLine="0"/>
              <w:jc w:val="right"/>
              <w:rPr>
                <w:sz w:val="13"/>
                <w:szCs w:val="13"/>
                <w:lang w:eastAsia="es-MX"/>
              </w:rPr>
            </w:pPr>
            <w:r w:rsidRPr="007D1689">
              <w:rPr>
                <w:sz w:val="13"/>
                <w:szCs w:val="13"/>
              </w:rPr>
              <w:t>5,157.0</w:t>
            </w:r>
          </w:p>
        </w:tc>
        <w:tc>
          <w:tcPr>
            <w:tcW w:w="885" w:type="dxa"/>
            <w:shd w:val="clear" w:color="auto" w:fill="auto"/>
            <w:noWrap/>
          </w:tcPr>
          <w:p w14:paraId="1B625615" w14:textId="77777777" w:rsidR="00896338" w:rsidRPr="007D1689" w:rsidRDefault="00896338" w:rsidP="007D1689">
            <w:pPr>
              <w:pStyle w:val="Texto"/>
              <w:ind w:firstLine="0"/>
              <w:jc w:val="right"/>
              <w:rPr>
                <w:sz w:val="13"/>
                <w:szCs w:val="13"/>
                <w:lang w:eastAsia="es-MX"/>
              </w:rPr>
            </w:pPr>
            <w:r w:rsidRPr="007D1689">
              <w:rPr>
                <w:sz w:val="13"/>
                <w:szCs w:val="13"/>
              </w:rPr>
              <w:t>2,990.3</w:t>
            </w:r>
          </w:p>
        </w:tc>
        <w:tc>
          <w:tcPr>
            <w:tcW w:w="859" w:type="dxa"/>
            <w:shd w:val="clear" w:color="auto" w:fill="auto"/>
            <w:noWrap/>
          </w:tcPr>
          <w:p w14:paraId="268D203F" w14:textId="77777777" w:rsidR="00896338" w:rsidRPr="007D1689" w:rsidRDefault="00896338" w:rsidP="007D1689">
            <w:pPr>
              <w:pStyle w:val="Texto"/>
              <w:ind w:firstLine="0"/>
              <w:jc w:val="right"/>
              <w:rPr>
                <w:sz w:val="13"/>
                <w:szCs w:val="13"/>
                <w:lang w:eastAsia="es-MX"/>
              </w:rPr>
            </w:pPr>
            <w:r w:rsidRPr="007D1689">
              <w:rPr>
                <w:sz w:val="13"/>
                <w:szCs w:val="13"/>
              </w:rPr>
              <w:t>5,267.1</w:t>
            </w:r>
          </w:p>
        </w:tc>
        <w:tc>
          <w:tcPr>
            <w:tcW w:w="1009" w:type="dxa"/>
            <w:shd w:val="clear" w:color="auto" w:fill="auto"/>
            <w:noWrap/>
          </w:tcPr>
          <w:p w14:paraId="0F1AE8B5" w14:textId="77777777" w:rsidR="00896338" w:rsidRPr="007D1689" w:rsidRDefault="00896338" w:rsidP="007D1689">
            <w:pPr>
              <w:pStyle w:val="Texto"/>
              <w:ind w:firstLine="0"/>
              <w:jc w:val="right"/>
              <w:rPr>
                <w:sz w:val="13"/>
                <w:szCs w:val="13"/>
                <w:lang w:eastAsia="es-MX"/>
              </w:rPr>
            </w:pPr>
            <w:r w:rsidRPr="007D1689">
              <w:rPr>
                <w:sz w:val="13"/>
                <w:szCs w:val="13"/>
              </w:rPr>
              <w:t>48,209.2</w:t>
            </w:r>
          </w:p>
        </w:tc>
      </w:tr>
      <w:tr w:rsidR="00896338" w:rsidRPr="00054A7A" w14:paraId="4D81BBF6" w14:textId="77777777">
        <w:trPr>
          <w:trHeight w:val="20"/>
          <w:jc w:val="center"/>
        </w:trPr>
        <w:tc>
          <w:tcPr>
            <w:tcW w:w="2687" w:type="dxa"/>
            <w:tcBorders>
              <w:bottom w:val="single" w:sz="4" w:space="0" w:color="auto"/>
            </w:tcBorders>
            <w:shd w:val="clear" w:color="auto" w:fill="auto"/>
            <w:vAlign w:val="center"/>
          </w:tcPr>
          <w:p w14:paraId="329AFFDE" w14:textId="77777777" w:rsidR="00896338" w:rsidRPr="007D1689" w:rsidRDefault="00896338" w:rsidP="007D1689">
            <w:pPr>
              <w:pStyle w:val="Texto"/>
              <w:ind w:left="288" w:firstLine="0"/>
              <w:rPr>
                <w:b/>
                <w:bCs/>
                <w:sz w:val="13"/>
                <w:szCs w:val="13"/>
                <w:lang w:eastAsia="es-MX"/>
              </w:rPr>
            </w:pPr>
            <w:r w:rsidRPr="007D1689">
              <w:rPr>
                <w:b/>
                <w:bCs/>
                <w:sz w:val="13"/>
                <w:szCs w:val="13"/>
                <w:lang w:eastAsia="es-MX"/>
              </w:rPr>
              <w:lastRenderedPageBreak/>
              <w:t>Aportaciones de Seguridad Social</w:t>
            </w:r>
          </w:p>
        </w:tc>
        <w:tc>
          <w:tcPr>
            <w:tcW w:w="780" w:type="dxa"/>
            <w:tcBorders>
              <w:bottom w:val="single" w:sz="4" w:space="0" w:color="auto"/>
            </w:tcBorders>
            <w:shd w:val="clear" w:color="auto" w:fill="auto"/>
            <w:noWrap/>
          </w:tcPr>
          <w:p w14:paraId="7F56ABC1" w14:textId="77777777" w:rsidR="00896338" w:rsidRPr="007D1689" w:rsidRDefault="00896338" w:rsidP="007D1689">
            <w:pPr>
              <w:pStyle w:val="Texto"/>
              <w:ind w:firstLine="0"/>
              <w:jc w:val="right"/>
              <w:rPr>
                <w:sz w:val="13"/>
                <w:szCs w:val="13"/>
                <w:lang w:eastAsia="es-MX"/>
              </w:rPr>
            </w:pPr>
            <w:r w:rsidRPr="007D1689">
              <w:rPr>
                <w:sz w:val="13"/>
                <w:szCs w:val="13"/>
              </w:rPr>
              <w:t>31,105.1</w:t>
            </w:r>
          </w:p>
        </w:tc>
        <w:tc>
          <w:tcPr>
            <w:tcW w:w="780" w:type="dxa"/>
            <w:tcBorders>
              <w:bottom w:val="single" w:sz="4" w:space="0" w:color="auto"/>
            </w:tcBorders>
            <w:shd w:val="clear" w:color="auto" w:fill="auto"/>
            <w:noWrap/>
          </w:tcPr>
          <w:p w14:paraId="3B080F96" w14:textId="77777777" w:rsidR="00896338" w:rsidRPr="007D1689" w:rsidRDefault="00896338" w:rsidP="007D1689">
            <w:pPr>
              <w:pStyle w:val="Texto"/>
              <w:ind w:firstLine="0"/>
              <w:jc w:val="right"/>
              <w:rPr>
                <w:sz w:val="13"/>
                <w:szCs w:val="13"/>
                <w:lang w:eastAsia="es-MX"/>
              </w:rPr>
            </w:pPr>
            <w:r w:rsidRPr="007D1689">
              <w:rPr>
                <w:sz w:val="13"/>
                <w:szCs w:val="13"/>
              </w:rPr>
              <w:t>33,403.9</w:t>
            </w:r>
          </w:p>
        </w:tc>
        <w:tc>
          <w:tcPr>
            <w:tcW w:w="932" w:type="dxa"/>
            <w:tcBorders>
              <w:bottom w:val="single" w:sz="4" w:space="0" w:color="auto"/>
            </w:tcBorders>
            <w:shd w:val="clear" w:color="auto" w:fill="auto"/>
            <w:noWrap/>
          </w:tcPr>
          <w:p w14:paraId="3F4ACCBA" w14:textId="77777777" w:rsidR="00896338" w:rsidRPr="007D1689" w:rsidRDefault="00896338" w:rsidP="007D1689">
            <w:pPr>
              <w:pStyle w:val="Texto"/>
              <w:ind w:firstLine="0"/>
              <w:jc w:val="right"/>
              <w:rPr>
                <w:sz w:val="13"/>
                <w:szCs w:val="13"/>
                <w:lang w:eastAsia="es-MX"/>
              </w:rPr>
            </w:pPr>
            <w:r w:rsidRPr="007D1689">
              <w:rPr>
                <w:sz w:val="13"/>
                <w:szCs w:val="13"/>
              </w:rPr>
              <w:t>32,689.3</w:t>
            </w:r>
          </w:p>
        </w:tc>
        <w:tc>
          <w:tcPr>
            <w:tcW w:w="780" w:type="dxa"/>
            <w:tcBorders>
              <w:bottom w:val="single" w:sz="4" w:space="0" w:color="auto"/>
            </w:tcBorders>
            <w:shd w:val="clear" w:color="auto" w:fill="auto"/>
            <w:noWrap/>
          </w:tcPr>
          <w:p w14:paraId="339CD03E" w14:textId="77777777" w:rsidR="00896338" w:rsidRPr="007D1689" w:rsidRDefault="00896338" w:rsidP="007D1689">
            <w:pPr>
              <w:pStyle w:val="Texto"/>
              <w:ind w:firstLine="0"/>
              <w:jc w:val="right"/>
              <w:rPr>
                <w:sz w:val="13"/>
                <w:szCs w:val="13"/>
                <w:lang w:eastAsia="es-MX"/>
              </w:rPr>
            </w:pPr>
            <w:r w:rsidRPr="007D1689">
              <w:rPr>
                <w:sz w:val="13"/>
                <w:szCs w:val="13"/>
              </w:rPr>
              <w:t>31,992.6</w:t>
            </w:r>
          </w:p>
        </w:tc>
        <w:tc>
          <w:tcPr>
            <w:tcW w:w="885" w:type="dxa"/>
            <w:tcBorders>
              <w:bottom w:val="single" w:sz="4" w:space="0" w:color="auto"/>
            </w:tcBorders>
            <w:shd w:val="clear" w:color="auto" w:fill="auto"/>
            <w:noWrap/>
          </w:tcPr>
          <w:p w14:paraId="21ED97BE" w14:textId="77777777" w:rsidR="00896338" w:rsidRPr="007D1689" w:rsidRDefault="00896338" w:rsidP="007D1689">
            <w:pPr>
              <w:pStyle w:val="Texto"/>
              <w:ind w:firstLine="0"/>
              <w:jc w:val="right"/>
              <w:rPr>
                <w:sz w:val="13"/>
                <w:szCs w:val="13"/>
                <w:lang w:eastAsia="es-MX"/>
              </w:rPr>
            </w:pPr>
            <w:r w:rsidRPr="007D1689">
              <w:rPr>
                <w:sz w:val="13"/>
                <w:szCs w:val="13"/>
              </w:rPr>
              <w:t>33,038.0</w:t>
            </w:r>
          </w:p>
        </w:tc>
        <w:tc>
          <w:tcPr>
            <w:tcW w:w="859" w:type="dxa"/>
            <w:tcBorders>
              <w:bottom w:val="single" w:sz="4" w:space="0" w:color="auto"/>
            </w:tcBorders>
            <w:shd w:val="clear" w:color="auto" w:fill="auto"/>
            <w:noWrap/>
          </w:tcPr>
          <w:p w14:paraId="32E316DC" w14:textId="77777777" w:rsidR="00896338" w:rsidRPr="007D1689" w:rsidRDefault="00896338" w:rsidP="007D1689">
            <w:pPr>
              <w:pStyle w:val="Texto"/>
              <w:ind w:firstLine="0"/>
              <w:jc w:val="right"/>
              <w:rPr>
                <w:sz w:val="13"/>
                <w:szCs w:val="13"/>
                <w:lang w:eastAsia="es-MX"/>
              </w:rPr>
            </w:pPr>
            <w:r w:rsidRPr="007D1689">
              <w:rPr>
                <w:sz w:val="13"/>
                <w:szCs w:val="13"/>
              </w:rPr>
              <w:t>32,188.4</w:t>
            </w:r>
          </w:p>
        </w:tc>
        <w:tc>
          <w:tcPr>
            <w:tcW w:w="1009" w:type="dxa"/>
            <w:tcBorders>
              <w:bottom w:val="single" w:sz="4" w:space="0" w:color="auto"/>
            </w:tcBorders>
            <w:shd w:val="clear" w:color="auto" w:fill="auto"/>
            <w:noWrap/>
          </w:tcPr>
          <w:p w14:paraId="4CF0D0A9" w14:textId="77777777" w:rsidR="00896338" w:rsidRPr="007D1689" w:rsidRDefault="00896338" w:rsidP="007D1689">
            <w:pPr>
              <w:pStyle w:val="Texto"/>
              <w:ind w:firstLine="0"/>
              <w:jc w:val="right"/>
              <w:rPr>
                <w:sz w:val="13"/>
                <w:szCs w:val="13"/>
                <w:lang w:eastAsia="es-MX"/>
              </w:rPr>
            </w:pPr>
            <w:r w:rsidRPr="007D1689">
              <w:rPr>
                <w:sz w:val="13"/>
                <w:szCs w:val="13"/>
              </w:rPr>
              <w:t>381,835.8</w:t>
            </w:r>
          </w:p>
        </w:tc>
      </w:tr>
      <w:tr w:rsidR="00896338" w:rsidRPr="00054A7A" w14:paraId="027E64D9" w14:textId="77777777">
        <w:trPr>
          <w:trHeight w:val="20"/>
          <w:jc w:val="center"/>
        </w:trPr>
        <w:tc>
          <w:tcPr>
            <w:tcW w:w="8712" w:type="dxa"/>
            <w:gridSpan w:val="8"/>
            <w:tcBorders>
              <w:top w:val="single" w:sz="4" w:space="0" w:color="auto"/>
              <w:left w:val="nil"/>
              <w:bottom w:val="nil"/>
              <w:right w:val="nil"/>
            </w:tcBorders>
            <w:shd w:val="clear" w:color="auto" w:fill="auto"/>
            <w:vAlign w:val="center"/>
          </w:tcPr>
          <w:p w14:paraId="05149AAC" w14:textId="77777777" w:rsidR="00896338" w:rsidRPr="007D1689" w:rsidRDefault="00896338" w:rsidP="00054A7A">
            <w:pPr>
              <w:pStyle w:val="Texto"/>
              <w:ind w:firstLine="0"/>
              <w:rPr>
                <w:sz w:val="13"/>
                <w:szCs w:val="13"/>
                <w:lang w:eastAsia="es-MX"/>
              </w:rPr>
            </w:pPr>
            <w:r w:rsidRPr="007D1689">
              <w:rPr>
                <w:sz w:val="13"/>
                <w:szCs w:val="13"/>
                <w:lang w:eastAsia="es-MX"/>
              </w:rPr>
              <w:t>Nota: El total anual corresponde a las cifras consideradas en el artículo 1o. de la Ley de Ingresos de la Federación para el Ejercicio Fiscal de 2021 (LIF 2021). No incluye los ingresos derivados de financiamientos.</w:t>
            </w:r>
          </w:p>
        </w:tc>
      </w:tr>
      <w:tr w:rsidR="00896338" w:rsidRPr="00054A7A" w14:paraId="0F34A36A" w14:textId="77777777">
        <w:trPr>
          <w:trHeight w:val="20"/>
          <w:jc w:val="center"/>
        </w:trPr>
        <w:tc>
          <w:tcPr>
            <w:tcW w:w="8712" w:type="dxa"/>
            <w:gridSpan w:val="8"/>
            <w:tcBorders>
              <w:top w:val="nil"/>
              <w:left w:val="nil"/>
              <w:bottom w:val="nil"/>
              <w:right w:val="nil"/>
            </w:tcBorders>
            <w:shd w:val="clear" w:color="auto" w:fill="auto"/>
            <w:vAlign w:val="center"/>
          </w:tcPr>
          <w:p w14:paraId="45EF7A53" w14:textId="77777777" w:rsidR="00896338" w:rsidRPr="007D1689" w:rsidRDefault="00896338" w:rsidP="00054A7A">
            <w:pPr>
              <w:pStyle w:val="Texto"/>
              <w:ind w:firstLine="0"/>
              <w:rPr>
                <w:sz w:val="13"/>
                <w:szCs w:val="13"/>
                <w:lang w:eastAsia="es-MX"/>
              </w:rPr>
            </w:pPr>
            <w:r w:rsidRPr="007D1689">
              <w:rPr>
                <w:sz w:val="13"/>
                <w:szCs w:val="13"/>
                <w:lang w:eastAsia="es-MX"/>
              </w:rPr>
              <w:t>1_/ Incluye los impuestos sobre automóviles nuevos, a la exportación, los accesorios, así como a los impuestos a que se refieren los numerales 1.18 (Otros impuestos) y 1.19 (Impuestos no comprendidos en la Ley de Ingresos Vigente, Causados en Ejercicios Fiscales Anteriores Pendientes de Liquidación o Pago) del artículo 1o. de la LIF 2021.</w:t>
            </w:r>
          </w:p>
        </w:tc>
      </w:tr>
      <w:tr w:rsidR="00896338" w:rsidRPr="00054A7A" w14:paraId="1E7CF8C7" w14:textId="77777777">
        <w:trPr>
          <w:trHeight w:val="20"/>
          <w:jc w:val="center"/>
        </w:trPr>
        <w:tc>
          <w:tcPr>
            <w:tcW w:w="8712" w:type="dxa"/>
            <w:gridSpan w:val="8"/>
            <w:tcBorders>
              <w:top w:val="nil"/>
              <w:left w:val="nil"/>
              <w:bottom w:val="nil"/>
              <w:right w:val="nil"/>
            </w:tcBorders>
            <w:shd w:val="clear" w:color="auto" w:fill="auto"/>
            <w:vAlign w:val="center"/>
          </w:tcPr>
          <w:p w14:paraId="716DDB24" w14:textId="77777777" w:rsidR="00896338" w:rsidRPr="007D1689" w:rsidRDefault="00896338" w:rsidP="00054A7A">
            <w:pPr>
              <w:pStyle w:val="Texto"/>
              <w:ind w:firstLine="0"/>
              <w:rPr>
                <w:sz w:val="13"/>
                <w:szCs w:val="13"/>
                <w:lang w:eastAsia="es-MX"/>
              </w:rPr>
            </w:pPr>
            <w:r w:rsidRPr="007D1689">
              <w:rPr>
                <w:sz w:val="13"/>
                <w:szCs w:val="13"/>
                <w:lang w:eastAsia="es-MX"/>
              </w:rPr>
              <w:t>2_/ Corresponde al concepto establecido en el artículo 1o., numeral 6.61.21 (Aprovechamientos, Aprovechamientos, No comprendidos en los incisos anteriores provenientes del cumplimiento de convenios celebrados en otros ejercicios) de la LIF 2021.</w:t>
            </w:r>
          </w:p>
        </w:tc>
      </w:tr>
      <w:tr w:rsidR="00896338" w:rsidRPr="00054A7A" w14:paraId="088532B8" w14:textId="77777777">
        <w:trPr>
          <w:trHeight w:val="20"/>
          <w:jc w:val="center"/>
        </w:trPr>
        <w:tc>
          <w:tcPr>
            <w:tcW w:w="8712" w:type="dxa"/>
            <w:gridSpan w:val="8"/>
            <w:tcBorders>
              <w:top w:val="nil"/>
              <w:left w:val="nil"/>
              <w:bottom w:val="nil"/>
              <w:right w:val="nil"/>
            </w:tcBorders>
            <w:shd w:val="clear" w:color="auto" w:fill="auto"/>
            <w:vAlign w:val="center"/>
          </w:tcPr>
          <w:p w14:paraId="3B60B825" w14:textId="77777777" w:rsidR="00896338" w:rsidRPr="007D1689" w:rsidRDefault="00896338" w:rsidP="00054A7A">
            <w:pPr>
              <w:pStyle w:val="Texto"/>
              <w:ind w:firstLine="0"/>
              <w:rPr>
                <w:sz w:val="13"/>
                <w:szCs w:val="13"/>
                <w:lang w:eastAsia="es-MX"/>
              </w:rPr>
            </w:pPr>
            <w:r w:rsidRPr="007D1689">
              <w:rPr>
                <w:sz w:val="13"/>
                <w:szCs w:val="13"/>
                <w:lang w:eastAsia="es-MX"/>
              </w:rPr>
              <w:t>3_/ Incluye los productos y las contribuciones de mejoras.</w:t>
            </w:r>
          </w:p>
        </w:tc>
      </w:tr>
      <w:tr w:rsidR="00896338" w:rsidRPr="00054A7A" w14:paraId="489F7FD2" w14:textId="77777777">
        <w:trPr>
          <w:trHeight w:val="20"/>
          <w:jc w:val="center"/>
        </w:trPr>
        <w:tc>
          <w:tcPr>
            <w:tcW w:w="8712" w:type="dxa"/>
            <w:gridSpan w:val="8"/>
            <w:tcBorders>
              <w:top w:val="nil"/>
              <w:left w:val="nil"/>
              <w:bottom w:val="nil"/>
              <w:right w:val="nil"/>
            </w:tcBorders>
            <w:shd w:val="clear" w:color="auto" w:fill="auto"/>
            <w:vAlign w:val="center"/>
          </w:tcPr>
          <w:p w14:paraId="78F7770F" w14:textId="77777777" w:rsidR="00896338" w:rsidRPr="007D1689" w:rsidRDefault="00896338" w:rsidP="00054A7A">
            <w:pPr>
              <w:pStyle w:val="Texto"/>
              <w:ind w:firstLine="0"/>
              <w:rPr>
                <w:sz w:val="13"/>
                <w:szCs w:val="13"/>
                <w:lang w:eastAsia="es-MX"/>
              </w:rPr>
            </w:pPr>
            <w:r w:rsidRPr="007D1689">
              <w:rPr>
                <w:sz w:val="13"/>
                <w:szCs w:val="13"/>
                <w:lang w:eastAsia="es-MX"/>
              </w:rPr>
              <w:t>4_/ La suma parcial de los ingresos puede no coincidir con el total anual debido al redondeo de las cifras.</w:t>
            </w:r>
          </w:p>
        </w:tc>
      </w:tr>
    </w:tbl>
    <w:p w14:paraId="29F7816B" w14:textId="77777777" w:rsidR="00896338" w:rsidRPr="00896338" w:rsidRDefault="00896338" w:rsidP="00896338">
      <w:pPr>
        <w:pStyle w:val="Texto"/>
        <w:rPr>
          <w:b/>
          <w:caps/>
          <w:szCs w:val="24"/>
          <w:lang w:val="es-MX"/>
        </w:rPr>
      </w:pPr>
    </w:p>
    <w:p w14:paraId="172CAF74" w14:textId="77777777" w:rsidR="00896338" w:rsidRPr="00896338" w:rsidRDefault="00896338" w:rsidP="00EF4AC7">
      <w:pPr>
        <w:pStyle w:val="Texto"/>
        <w:spacing w:after="80"/>
        <w:ind w:firstLine="0"/>
        <w:jc w:val="center"/>
        <w:rPr>
          <w:b/>
          <w:caps/>
          <w:szCs w:val="24"/>
          <w:lang w:val="es-MX"/>
        </w:rPr>
      </w:pPr>
      <w:r w:rsidRPr="00896338">
        <w:rPr>
          <w:b/>
          <w:caps/>
          <w:szCs w:val="24"/>
          <w:lang w:val="es-MX"/>
        </w:rPr>
        <w:t>METODOLOGÍA PARA la elaboraciÓn del calendario mensual deL PRONÓSTICO</w:t>
      </w:r>
      <w:r w:rsidR="00C60079">
        <w:rPr>
          <w:b/>
          <w:caps/>
          <w:szCs w:val="24"/>
          <w:lang w:val="es-MX"/>
        </w:rPr>
        <w:t xml:space="preserve"> </w:t>
      </w:r>
      <w:r w:rsidRPr="00896338">
        <w:rPr>
          <w:b/>
          <w:caps/>
          <w:szCs w:val="24"/>
          <w:lang w:val="es-MX"/>
        </w:rPr>
        <w:t>de los ingresos de la FederaciÓn para el ejercicio fiscal de 2021</w:t>
      </w:r>
    </w:p>
    <w:p w14:paraId="2853B6DB" w14:textId="77777777" w:rsidR="00896338" w:rsidRPr="00896338" w:rsidRDefault="00896338" w:rsidP="00EF4AC7">
      <w:pPr>
        <w:pStyle w:val="Texto"/>
        <w:spacing w:after="97"/>
        <w:rPr>
          <w:lang w:val="es-ES_tradnl"/>
        </w:rPr>
      </w:pPr>
      <w:r w:rsidRPr="00896338">
        <w:rPr>
          <w:lang w:val="es-ES_tradnl"/>
        </w:rPr>
        <w:t>De conformidad con lo previsto en el artículo 23, séptimo párrafo de la Ley Federal de Presupuesto y Responsabilidad Hacendaria, se describe la metodología utilizada para realizar la calendarización mensual de los ingresos de la Federación que se espera obtener en el ejercicio fiscal de 2021, de acuerdo con los montos establecidos en el artículo 1o. de la Ley de Ingresos de la Federación para el Ejercicio Fiscal de 2021</w:t>
      </w:r>
      <w:r w:rsidR="00C60079">
        <w:rPr>
          <w:lang w:val="es-ES_tradnl"/>
        </w:rPr>
        <w:t xml:space="preserve"> </w:t>
      </w:r>
      <w:r w:rsidRPr="00896338">
        <w:rPr>
          <w:lang w:val="es-ES_tradnl"/>
        </w:rPr>
        <w:t>(LIF 2021).</w:t>
      </w:r>
    </w:p>
    <w:p w14:paraId="2E9AAE80" w14:textId="77777777" w:rsidR="00896338" w:rsidRPr="00896338" w:rsidRDefault="00896338" w:rsidP="00EF4AC7">
      <w:pPr>
        <w:pStyle w:val="Texto"/>
        <w:spacing w:after="97"/>
        <w:rPr>
          <w:b/>
          <w:szCs w:val="24"/>
        </w:rPr>
      </w:pPr>
      <w:r w:rsidRPr="00896338">
        <w:rPr>
          <w:b/>
          <w:szCs w:val="24"/>
        </w:rPr>
        <w:t>A. Ingresos del Gobierno Federal</w:t>
      </w:r>
    </w:p>
    <w:p w14:paraId="7F252E27" w14:textId="77777777" w:rsidR="00896338" w:rsidRPr="00896338" w:rsidRDefault="00896338" w:rsidP="00EF4AC7">
      <w:pPr>
        <w:pStyle w:val="Texto"/>
        <w:spacing w:after="97"/>
        <w:rPr>
          <w:b/>
          <w:szCs w:val="24"/>
        </w:rPr>
      </w:pPr>
      <w:r w:rsidRPr="00896338">
        <w:rPr>
          <w:b/>
          <w:szCs w:val="24"/>
        </w:rPr>
        <w:t>I. Impuestos</w:t>
      </w:r>
    </w:p>
    <w:p w14:paraId="50687D36" w14:textId="77777777" w:rsidR="00896338" w:rsidRPr="00896338" w:rsidRDefault="00896338" w:rsidP="00EF4AC7">
      <w:pPr>
        <w:pStyle w:val="Texto"/>
        <w:spacing w:after="97"/>
        <w:rPr>
          <w:szCs w:val="24"/>
        </w:rPr>
      </w:pPr>
      <w:r w:rsidRPr="00896338">
        <w:rPr>
          <w:szCs w:val="24"/>
        </w:rPr>
        <w:t>El pronóstico de recaudación mensual de cada uno de los impuestos federales se construye a partir de un modelo estadístico con suavizamiento exponencial. Los factores estacionales que se estiman del modelo se aplican sobre el pronóstico de la recaudación anual para obtener el flujo mensual de recaudación. Para la estimación del modelo estadístico se utilizaron series de tiempo mensuales para el periodo de enero de 1990 a octubre de 2020 por impuesto. Como se describe más adelante, el análisis estadístico se complementa con la incorporación de particularidades propias de la base gravable de ciertos impuestos.</w:t>
      </w:r>
    </w:p>
    <w:p w14:paraId="539861F3" w14:textId="77777777" w:rsidR="00896338" w:rsidRPr="00896338" w:rsidRDefault="00896338" w:rsidP="00EF4AC7">
      <w:pPr>
        <w:pStyle w:val="Texto"/>
        <w:spacing w:after="97"/>
        <w:rPr>
          <w:szCs w:val="24"/>
        </w:rPr>
      </w:pPr>
      <w:r w:rsidRPr="00896338">
        <w:rPr>
          <w:szCs w:val="24"/>
        </w:rPr>
        <w:t>En particular, se utilizó el modelo de ajuste exponencial multiplicativo de Holt y Winters, el cual está determinado por la siguiente relación:</w:t>
      </w:r>
    </w:p>
    <w:p w14:paraId="17F27F3F" w14:textId="77777777" w:rsidR="00896338" w:rsidRPr="00896338" w:rsidRDefault="008065AF" w:rsidP="00EF4AC7">
      <w:pPr>
        <w:pStyle w:val="Texto"/>
        <w:spacing w:after="97" w:line="240" w:lineRule="auto"/>
      </w:pPr>
      <w:r>
        <w:rPr>
          <w:noProof/>
        </w:rPr>
        <w:drawing>
          <wp:inline distT="0" distB="0" distL="0" distR="0" wp14:anchorId="69F90074" wp14:editId="10934D11">
            <wp:extent cx="2133600" cy="292100"/>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292100"/>
                    </a:xfrm>
                    <a:prstGeom prst="rect">
                      <a:avLst/>
                    </a:prstGeom>
                    <a:noFill/>
                    <a:ln>
                      <a:noFill/>
                    </a:ln>
                  </pic:spPr>
                </pic:pic>
              </a:graphicData>
            </a:graphic>
          </wp:inline>
        </w:drawing>
      </w:r>
    </w:p>
    <w:p w14:paraId="4D0850CE" w14:textId="77777777" w:rsidR="00896338" w:rsidRPr="00896338" w:rsidRDefault="00896338" w:rsidP="00EF4AC7">
      <w:pPr>
        <w:pStyle w:val="Texto"/>
        <w:spacing w:after="97"/>
        <w:rPr>
          <w:szCs w:val="22"/>
        </w:rPr>
      </w:pPr>
      <w:r w:rsidRPr="00896338">
        <w:rPr>
          <w:szCs w:val="22"/>
        </w:rPr>
        <w:t xml:space="preserve">Donde </w:t>
      </w:r>
      <w:r w:rsidRPr="00896338">
        <w:rPr>
          <w:rFonts w:eastAsia="Microsoft JhengHei"/>
          <w:i/>
          <w:szCs w:val="22"/>
        </w:rPr>
        <w:t>a</w:t>
      </w:r>
      <w:r w:rsidRPr="00896338">
        <w:rPr>
          <w:szCs w:val="22"/>
        </w:rPr>
        <w:t xml:space="preserve"> representa el nivel de la serie, </w:t>
      </w:r>
      <w:r w:rsidRPr="00896338">
        <w:rPr>
          <w:i/>
          <w:noProof/>
          <w:szCs w:val="22"/>
          <w:lang w:val="es-MX" w:eastAsia="es-MX"/>
        </w:rPr>
        <w:t>b</w:t>
      </w:r>
      <w:r w:rsidRPr="00896338">
        <w:rPr>
          <w:szCs w:val="22"/>
        </w:rPr>
        <w:t xml:space="preserve"> su tendencia y </w:t>
      </w:r>
      <w:r w:rsidRPr="00896338">
        <w:rPr>
          <w:i/>
          <w:noProof/>
          <w:szCs w:val="22"/>
          <w:lang w:val="es-MX" w:eastAsia="es-MX"/>
        </w:rPr>
        <w:t>c</w:t>
      </w:r>
      <w:r w:rsidRPr="00896338">
        <w:rPr>
          <w:szCs w:val="22"/>
        </w:rPr>
        <w:t xml:space="preserve"> el factor estacional de carácter multiplicativo. El cálculo de estos parámetros está dado por las siguientes relaciones:</w:t>
      </w:r>
    </w:p>
    <w:p w14:paraId="5310BC29" w14:textId="77777777" w:rsidR="00EF4AC7" w:rsidRDefault="008065AF" w:rsidP="00EF4AC7">
      <w:pPr>
        <w:pStyle w:val="Texto"/>
        <w:spacing w:after="97" w:line="240" w:lineRule="auto"/>
      </w:pPr>
      <w:r>
        <w:rPr>
          <w:noProof/>
        </w:rPr>
        <w:drawing>
          <wp:inline distT="0" distB="0" distL="0" distR="0" wp14:anchorId="7E00405E" wp14:editId="6AB24304">
            <wp:extent cx="2616200" cy="1130300"/>
            <wp:effectExtent l="0" t="0" r="0" b="0"/>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6200" cy="1130300"/>
                    </a:xfrm>
                    <a:prstGeom prst="rect">
                      <a:avLst/>
                    </a:prstGeom>
                    <a:noFill/>
                    <a:ln>
                      <a:noFill/>
                    </a:ln>
                  </pic:spPr>
                </pic:pic>
              </a:graphicData>
            </a:graphic>
          </wp:inline>
        </w:drawing>
      </w:r>
    </w:p>
    <w:p w14:paraId="440F5C1E" w14:textId="77777777" w:rsidR="00896338" w:rsidRPr="00896338" w:rsidRDefault="00896338" w:rsidP="00EF4AC7">
      <w:pPr>
        <w:pStyle w:val="Texto"/>
        <w:spacing w:after="97"/>
        <w:rPr>
          <w:szCs w:val="22"/>
        </w:rPr>
      </w:pPr>
      <w:r w:rsidRPr="00896338">
        <w:rPr>
          <w:szCs w:val="22"/>
        </w:rPr>
        <w:t xml:space="preserve">Donde </w:t>
      </w:r>
      <w:r w:rsidRPr="00896338">
        <w:rPr>
          <w:i/>
          <w:szCs w:val="22"/>
        </w:rPr>
        <w:t>α</w:t>
      </w:r>
      <w:r w:rsidRPr="00896338">
        <w:rPr>
          <w:szCs w:val="22"/>
        </w:rPr>
        <w:t xml:space="preserve">, </w:t>
      </w:r>
      <w:r w:rsidRPr="00896338">
        <w:rPr>
          <w:i/>
          <w:szCs w:val="22"/>
        </w:rPr>
        <w:t>β</w:t>
      </w:r>
      <w:r w:rsidRPr="00896338">
        <w:rPr>
          <w:szCs w:val="22"/>
        </w:rPr>
        <w:t xml:space="preserve"> y </w:t>
      </w:r>
      <w:r w:rsidRPr="00896338">
        <w:rPr>
          <w:i/>
          <w:szCs w:val="22"/>
        </w:rPr>
        <w:t>γ</w:t>
      </w:r>
      <w:r w:rsidRPr="00896338">
        <w:rPr>
          <w:szCs w:val="22"/>
        </w:rPr>
        <w:t xml:space="preserve"> son los factores de amortiguación y 12 corresponde al número de periodos, en este caso de doce meses, en el ciclo estacional de la serie histórica de recaudación de cada impuesto. El pronóstico está dado por:</w:t>
      </w:r>
    </w:p>
    <w:p w14:paraId="1C4DC1F8" w14:textId="77777777" w:rsidR="00EF4AC7" w:rsidRDefault="008065AF" w:rsidP="00EF4AC7">
      <w:pPr>
        <w:pStyle w:val="Texto"/>
        <w:spacing w:after="97" w:line="240" w:lineRule="auto"/>
      </w:pPr>
      <w:r>
        <w:rPr>
          <w:noProof/>
        </w:rPr>
        <w:drawing>
          <wp:inline distT="0" distB="0" distL="0" distR="0" wp14:anchorId="53C1EDCF" wp14:editId="51CCF39E">
            <wp:extent cx="2120900" cy="279400"/>
            <wp:effectExtent l="0" t="0" r="0" b="0"/>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0900" cy="279400"/>
                    </a:xfrm>
                    <a:prstGeom prst="rect">
                      <a:avLst/>
                    </a:prstGeom>
                    <a:noFill/>
                    <a:ln>
                      <a:noFill/>
                    </a:ln>
                  </pic:spPr>
                </pic:pic>
              </a:graphicData>
            </a:graphic>
          </wp:inline>
        </w:drawing>
      </w:r>
    </w:p>
    <w:p w14:paraId="6E16FD1D" w14:textId="77777777" w:rsidR="00896338" w:rsidRPr="00896338" w:rsidRDefault="00896338" w:rsidP="00EF4AC7">
      <w:pPr>
        <w:pStyle w:val="Texto"/>
        <w:spacing w:after="97"/>
        <w:rPr>
          <w:szCs w:val="24"/>
        </w:rPr>
      </w:pPr>
      <w:r w:rsidRPr="00896338">
        <w:rPr>
          <w:szCs w:val="24"/>
        </w:rPr>
        <w:t>Cabe señalar que los modelos de suavizamiento exponencial ponderan en mayor medida la información más reciente, por lo que se denominan modelos con “memoria de corto plazo”.</w:t>
      </w:r>
    </w:p>
    <w:p w14:paraId="02F94051" w14:textId="77777777" w:rsidR="00896338" w:rsidRPr="00896338" w:rsidRDefault="00896338" w:rsidP="00EF4AC7">
      <w:pPr>
        <w:pStyle w:val="Texto"/>
        <w:spacing w:after="97"/>
        <w:rPr>
          <w:szCs w:val="24"/>
        </w:rPr>
      </w:pPr>
      <w:r w:rsidRPr="00896338">
        <w:rPr>
          <w:szCs w:val="24"/>
        </w:rPr>
        <w:t>Como se mencionó anteriormente, para aplicar el modelo de suavizamiento se utilizó información histórica de la recaudación por cada impuesto –disponible en la página de Internet de la Secretaría de Hacienda y Crédito Público (SHCP)– expresada en términos reales. Adicionalmente, se realizaron ajustes estadísticos para eliminar observaciones extraordinarias o estadísticamente atípicas de la recaudación histórica de cada impuesto y que pueden distorsionar la estimación de la estacionalidad.</w:t>
      </w:r>
    </w:p>
    <w:p w14:paraId="2F2523CA" w14:textId="77777777" w:rsidR="00896338" w:rsidRPr="00896338" w:rsidRDefault="00896338" w:rsidP="00EF4AC7">
      <w:pPr>
        <w:pStyle w:val="Texto"/>
        <w:spacing w:after="97"/>
        <w:rPr>
          <w:b/>
          <w:szCs w:val="24"/>
        </w:rPr>
      </w:pPr>
      <w:r w:rsidRPr="00896338">
        <w:rPr>
          <w:b/>
          <w:szCs w:val="24"/>
        </w:rPr>
        <w:lastRenderedPageBreak/>
        <w:t>I.1 Impuesto Sobre la Renta (ISR)</w:t>
      </w:r>
    </w:p>
    <w:p w14:paraId="3EDAD759" w14:textId="77777777" w:rsidR="00896338" w:rsidRPr="00896338" w:rsidRDefault="00896338" w:rsidP="00EF4AC7">
      <w:pPr>
        <w:pStyle w:val="Texto"/>
        <w:spacing w:after="97"/>
        <w:rPr>
          <w:szCs w:val="24"/>
        </w:rPr>
      </w:pPr>
      <w:r w:rsidRPr="00896338">
        <w:rPr>
          <w:szCs w:val="24"/>
        </w:rPr>
        <w:t>El pronóstico de la recaudación mensual del ISR es resultado de la aplicación de los modelos descritos en el numeral I de este apartado.</w:t>
      </w:r>
    </w:p>
    <w:p w14:paraId="6C844F71" w14:textId="77777777" w:rsidR="00896338" w:rsidRPr="00896338" w:rsidRDefault="00896338" w:rsidP="00EF4AC7">
      <w:pPr>
        <w:pStyle w:val="Texto"/>
        <w:spacing w:after="97"/>
        <w:rPr>
          <w:b/>
          <w:szCs w:val="24"/>
        </w:rPr>
      </w:pPr>
      <w:r w:rsidRPr="00896338">
        <w:rPr>
          <w:b/>
          <w:szCs w:val="24"/>
        </w:rPr>
        <w:t>I.2 Impuesto al Valor Agregado (IVA)</w:t>
      </w:r>
    </w:p>
    <w:p w14:paraId="2AE88149" w14:textId="77777777" w:rsidR="00896338" w:rsidRPr="00896338" w:rsidRDefault="00896338" w:rsidP="00EF4AC7">
      <w:pPr>
        <w:pStyle w:val="Texto"/>
        <w:spacing w:after="97"/>
        <w:rPr>
          <w:szCs w:val="24"/>
        </w:rPr>
      </w:pPr>
      <w:r w:rsidRPr="00896338">
        <w:rPr>
          <w:szCs w:val="24"/>
        </w:rPr>
        <w:t>La recaudación mensual del IVA se calcula aplicando los modelos descritos en el numeral I de este apartado a la recaudación anual esperada conforme a lo establecido en la LIF 2021.</w:t>
      </w:r>
    </w:p>
    <w:p w14:paraId="34B4A244" w14:textId="77777777" w:rsidR="00896338" w:rsidRPr="00896338" w:rsidRDefault="00896338" w:rsidP="00EF4AC7">
      <w:pPr>
        <w:pStyle w:val="Texto"/>
        <w:spacing w:after="97"/>
        <w:rPr>
          <w:b/>
          <w:szCs w:val="24"/>
        </w:rPr>
      </w:pPr>
      <w:r w:rsidRPr="00896338">
        <w:rPr>
          <w:b/>
          <w:szCs w:val="24"/>
        </w:rPr>
        <w:t>I.3 Impuesto Especial Sobre Producción y Servicios (IEPS)</w:t>
      </w:r>
    </w:p>
    <w:p w14:paraId="10C1CEE4" w14:textId="77777777" w:rsidR="00896338" w:rsidRPr="00896338" w:rsidRDefault="00896338" w:rsidP="00EF4AC7">
      <w:pPr>
        <w:pStyle w:val="Texto"/>
        <w:spacing w:after="97"/>
        <w:rPr>
          <w:szCs w:val="24"/>
        </w:rPr>
      </w:pPr>
      <w:r w:rsidRPr="00896338">
        <w:rPr>
          <w:szCs w:val="24"/>
        </w:rPr>
        <w:t>Para la calendarización mensual del IEPS se consideraron los elementos siguientes:</w:t>
      </w:r>
    </w:p>
    <w:p w14:paraId="762ABF8A" w14:textId="77777777" w:rsidR="00896338" w:rsidRPr="00896338" w:rsidRDefault="00896338" w:rsidP="00EF4AC7">
      <w:pPr>
        <w:pStyle w:val="INCISO"/>
        <w:spacing w:after="97"/>
      </w:pPr>
      <w:r w:rsidRPr="00896338">
        <w:t>a)</w:t>
      </w:r>
      <w:r w:rsidRPr="00896338">
        <w:tab/>
        <w:t>La recaudación mensual para el caso del IEPS aplicable a la enajenación e importación de bebidas alcohólicas, cervezas y bebidas refrescantes, tabacos labrados, así como a la realización de juegos con apuestas y sorteos, redes públicas de telecomunicaciones y bebidas energetizantes, se calculó con base en los modelos descritos en el numeral I de este apartado.</w:t>
      </w:r>
    </w:p>
    <w:p w14:paraId="6103129B" w14:textId="77777777" w:rsidR="00896338" w:rsidRPr="00896338" w:rsidRDefault="00896338" w:rsidP="00F017A4">
      <w:pPr>
        <w:pStyle w:val="INCISO"/>
        <w:spacing w:after="80" w:line="255" w:lineRule="exact"/>
      </w:pPr>
      <w:r w:rsidRPr="00896338">
        <w:t>b)</w:t>
      </w:r>
      <w:r w:rsidRPr="00896338">
        <w:tab/>
        <w:t>El IEPS aplicable a bebidas saborizadas, alimentos no básicos con alta densidad calórica y plaguicidas considera la estacionalidad mensual de la recaudación de dicho impuesto correspondiente a cada uno de estos productos para los años de 2014 a 2020.</w:t>
      </w:r>
    </w:p>
    <w:p w14:paraId="4DEDBFB7" w14:textId="77777777" w:rsidR="00896338" w:rsidRPr="00896338" w:rsidRDefault="00896338" w:rsidP="00F017A4">
      <w:pPr>
        <w:pStyle w:val="INCISO"/>
        <w:spacing w:after="80" w:line="255" w:lineRule="exact"/>
      </w:pPr>
      <w:r w:rsidRPr="00896338">
        <w:t>c)</w:t>
      </w:r>
      <w:r w:rsidRPr="00896338">
        <w:tab/>
        <w:t>El IEPS de combustibles fósiles considera la estacionalidad mensual del volumen de ventas de los combustibles gravados con este impuesto.</w:t>
      </w:r>
    </w:p>
    <w:p w14:paraId="34E0AF8A" w14:textId="77777777" w:rsidR="00896338" w:rsidRPr="00896338" w:rsidRDefault="00896338" w:rsidP="00F017A4">
      <w:pPr>
        <w:pStyle w:val="INCISO"/>
        <w:spacing w:after="80" w:line="255" w:lineRule="exact"/>
      </w:pPr>
      <w:r w:rsidRPr="00896338">
        <w:t>d)</w:t>
      </w:r>
      <w:r w:rsidRPr="00896338">
        <w:tab/>
        <w:t>El monto mensual de la recaudación del IEPS correspondiente a las enajenaciones de gasolinas y diésel se calculó considerando la trayectoria estimada para 2021 de los volúmenes de ventas de estos productos, así como las tendencias de sus precios futuros de acuerdo con las referencias internacionales de las gasolinas y el diésel vendidas en la costa del golfo de los Estados Unidos de América. Estas referencias toman en cuenta la estacionalidad que se observa durante el año en el mercado de gasolinas.</w:t>
      </w:r>
    </w:p>
    <w:p w14:paraId="2ABB15BA" w14:textId="77777777" w:rsidR="00896338" w:rsidRPr="00896338" w:rsidRDefault="00896338" w:rsidP="00F017A4">
      <w:pPr>
        <w:pStyle w:val="Texto"/>
        <w:spacing w:after="80" w:line="255" w:lineRule="exact"/>
        <w:rPr>
          <w:b/>
          <w:szCs w:val="24"/>
        </w:rPr>
      </w:pPr>
      <w:r w:rsidRPr="00896338">
        <w:rPr>
          <w:b/>
          <w:szCs w:val="24"/>
        </w:rPr>
        <w:t>I.4 Otros impuestos</w:t>
      </w:r>
    </w:p>
    <w:p w14:paraId="663D5D2E" w14:textId="77777777" w:rsidR="00896338" w:rsidRPr="00896338" w:rsidRDefault="00896338" w:rsidP="00F017A4">
      <w:pPr>
        <w:pStyle w:val="Texto"/>
        <w:spacing w:after="80" w:line="255" w:lineRule="exact"/>
        <w:rPr>
          <w:szCs w:val="24"/>
        </w:rPr>
      </w:pPr>
      <w:r w:rsidRPr="00896338">
        <w:rPr>
          <w:szCs w:val="24"/>
        </w:rPr>
        <w:t>La calendarización mensual de la recaudación de los impuestos a la importación, sobre automóviles nuevos y accesorios se calculó aplicando los suavizamientos exponenciales mencionados anteriormente.</w:t>
      </w:r>
    </w:p>
    <w:p w14:paraId="5B2C9B08" w14:textId="77777777" w:rsidR="00896338" w:rsidRPr="00896338" w:rsidRDefault="00896338" w:rsidP="00F017A4">
      <w:pPr>
        <w:pStyle w:val="Texto"/>
        <w:spacing w:after="80" w:line="255" w:lineRule="exact"/>
        <w:rPr>
          <w:b/>
          <w:szCs w:val="24"/>
        </w:rPr>
      </w:pPr>
      <w:r w:rsidRPr="00896338">
        <w:rPr>
          <w:b/>
          <w:szCs w:val="24"/>
        </w:rPr>
        <w:t>II. Derechos</w:t>
      </w:r>
    </w:p>
    <w:p w14:paraId="59445C45" w14:textId="77777777" w:rsidR="00896338" w:rsidRPr="00896338" w:rsidRDefault="00896338" w:rsidP="00F017A4">
      <w:pPr>
        <w:pStyle w:val="Texto"/>
        <w:spacing w:after="80" w:line="255" w:lineRule="exact"/>
        <w:rPr>
          <w:b/>
          <w:szCs w:val="24"/>
        </w:rPr>
      </w:pPr>
      <w:r w:rsidRPr="00896338">
        <w:rPr>
          <w:b/>
          <w:szCs w:val="24"/>
        </w:rPr>
        <w:t>II.1 Derechos</w:t>
      </w:r>
    </w:p>
    <w:p w14:paraId="2E949F28" w14:textId="77777777" w:rsidR="00896338" w:rsidRPr="00896338" w:rsidRDefault="00896338" w:rsidP="00F017A4">
      <w:pPr>
        <w:pStyle w:val="Texto"/>
        <w:spacing w:after="80" w:line="255" w:lineRule="exact"/>
        <w:rPr>
          <w:szCs w:val="24"/>
        </w:rPr>
      </w:pPr>
      <w:r w:rsidRPr="00896338">
        <w:rPr>
          <w:szCs w:val="24"/>
        </w:rPr>
        <w:t>Para el cálculo mensual de los ingresos por derechos se utilizó la información proporcionada por las dependencias de la Administración Pública Federal. Lo anterior, de acuerdo con lo dispuesto por el artículo 7o. de la Ley Federal de Derechos, así como en el Oficio Circular por el que se establecen los procedimientos para el informe, dictamen, notificación o constancia de registro de los ingresos excedentes obtenidos durante el ejercicio por la Oficina de la Presidencia de la Republica, las dependencias y entidades de la Administración Pública Federal, así como por los poderes Legislativo y Judicial, los entes autónomos y Tribunales Administrativos, publicado en el Diario Oficial de la Federación el 29 de mayo de 2019. De acuerdo con el Oficio Circular, las dependencias deberán informar a la SHCP durante la primera quincena de julio sobre los ingresos percibidos por derechos durante el primer semestre del ejercicio fiscal en curso, así como sobre los que tengan programado percibir durante el segundo semestre del año en curso y en el ejercicio inmediato siguiente.</w:t>
      </w:r>
    </w:p>
    <w:p w14:paraId="16AA7E13" w14:textId="77777777" w:rsidR="00896338" w:rsidRPr="00896338" w:rsidRDefault="00896338" w:rsidP="00F017A4">
      <w:pPr>
        <w:pStyle w:val="Texto"/>
        <w:spacing w:after="80" w:line="255" w:lineRule="exact"/>
        <w:rPr>
          <w:szCs w:val="24"/>
        </w:rPr>
      </w:pPr>
      <w:r w:rsidRPr="00896338">
        <w:rPr>
          <w:szCs w:val="24"/>
        </w:rPr>
        <w:t>Los informes mencionados se solicitaron a las Secretarías de Estado y a los órganos administrativos desconcentrados dependientes del Ejecutivo Federal.</w:t>
      </w:r>
    </w:p>
    <w:p w14:paraId="25B36FC0" w14:textId="77777777" w:rsidR="00896338" w:rsidRPr="00896338" w:rsidRDefault="00896338" w:rsidP="00F017A4">
      <w:pPr>
        <w:pStyle w:val="Texto"/>
        <w:spacing w:after="80" w:line="255" w:lineRule="exact"/>
        <w:rPr>
          <w:szCs w:val="24"/>
        </w:rPr>
      </w:pPr>
      <w:r w:rsidRPr="00896338">
        <w:rPr>
          <w:szCs w:val="24"/>
        </w:rPr>
        <w:t>Para realizar el pronóstico de los ingresos para 2021 se consideraron el importe máximo entre la recaudación proyectada para el ejercicio fiscal de 2021 y el resultado de multiplicar el cierre de los ingresos de 2020 calculado por las propias dependencias, por la inflación y el crecimiento económico esperados. Los pronósticos calculados conforme al procedimiento anterior se calendarizaron por mes, con base en la distribución estacional histórica, obtenida utilizando entre uno y tres ejercicios inmediatos anteriores, dependiendo de la disponibilidad de información para los derechos que se distribuyen. Dicha información fue proporcionada por el Servicio de Administración Tributaria (SAT).</w:t>
      </w:r>
    </w:p>
    <w:p w14:paraId="6FD2F236" w14:textId="77777777" w:rsidR="00896338" w:rsidRPr="00896338" w:rsidRDefault="00896338" w:rsidP="00F017A4">
      <w:pPr>
        <w:pStyle w:val="Texto"/>
        <w:spacing w:after="80" w:line="255" w:lineRule="exact"/>
        <w:rPr>
          <w:szCs w:val="24"/>
        </w:rPr>
      </w:pPr>
      <w:r w:rsidRPr="00896338">
        <w:rPr>
          <w:szCs w:val="24"/>
        </w:rPr>
        <w:lastRenderedPageBreak/>
        <w:t>Para la determinación del monto incluido en la Iniciativa de la LIF 2021 se aplicaron los criterios siguientes:</w:t>
      </w:r>
    </w:p>
    <w:p w14:paraId="0AA2FD2D" w14:textId="77777777" w:rsidR="00896338" w:rsidRPr="00896338" w:rsidRDefault="00896338" w:rsidP="00F017A4">
      <w:pPr>
        <w:pStyle w:val="Texto"/>
        <w:spacing w:after="80" w:line="255" w:lineRule="exact"/>
        <w:rPr>
          <w:b/>
          <w:szCs w:val="24"/>
        </w:rPr>
      </w:pPr>
      <w:r w:rsidRPr="00896338">
        <w:rPr>
          <w:b/>
          <w:szCs w:val="24"/>
        </w:rPr>
        <w:t>II.1.1 Derechos por servicios que presta el Estado en funciones de derecho público (Ley Federal de Derechos, Título Primero)</w:t>
      </w:r>
    </w:p>
    <w:p w14:paraId="29D76F0E" w14:textId="77777777" w:rsidR="00896338" w:rsidRPr="00896338" w:rsidRDefault="00896338" w:rsidP="00F017A4">
      <w:pPr>
        <w:pStyle w:val="Texto"/>
        <w:spacing w:after="80" w:line="255" w:lineRule="exact"/>
        <w:rPr>
          <w:szCs w:val="24"/>
        </w:rPr>
      </w:pPr>
      <w:r w:rsidRPr="00896338">
        <w:rPr>
          <w:szCs w:val="24"/>
        </w:rPr>
        <w:t>En el caso de los ingresos por servicios que prestan las dependencias de la Administración Pública Federal, se consideraron el aumento proyectado del número de servicios que se prestarán en 2021, y la inflación.</w:t>
      </w:r>
    </w:p>
    <w:p w14:paraId="48CC3F68" w14:textId="77777777" w:rsidR="00896338" w:rsidRPr="00896338" w:rsidRDefault="00896338" w:rsidP="00F017A4">
      <w:pPr>
        <w:pStyle w:val="Texto"/>
        <w:spacing w:after="80" w:line="255" w:lineRule="exact"/>
        <w:rPr>
          <w:b/>
          <w:szCs w:val="24"/>
        </w:rPr>
      </w:pPr>
      <w:r w:rsidRPr="00896338">
        <w:rPr>
          <w:b/>
          <w:szCs w:val="24"/>
        </w:rPr>
        <w:t>II.1.2 Derechos por uso, goce, aprovechamiento o explotación de bienes sujetos al régimen de dominio público de la Federación (Ley Federal de Derechos, Título Segundo)</w:t>
      </w:r>
    </w:p>
    <w:p w14:paraId="5EA95205" w14:textId="77777777" w:rsidR="00896338" w:rsidRPr="00896338" w:rsidRDefault="00896338" w:rsidP="00F017A4">
      <w:pPr>
        <w:pStyle w:val="Texto"/>
        <w:spacing w:after="80" w:line="255" w:lineRule="exact"/>
        <w:rPr>
          <w:szCs w:val="24"/>
        </w:rPr>
      </w:pPr>
      <w:r w:rsidRPr="00896338">
        <w:rPr>
          <w:szCs w:val="24"/>
        </w:rPr>
        <w:t>Los derechos por uso, goce, aprovechamiento o explotación de bienes sujetos al régimen de dominio público de la Federación están vinculados principalmente con actividades productivas que crecen al ritmo de la actividad económica. Por ello, estos ingresos se proyectaron considerando tanto la inflación, como el crecimiento real de la economía esperados para 2021.</w:t>
      </w:r>
    </w:p>
    <w:p w14:paraId="20BC7078" w14:textId="77777777" w:rsidR="00896338" w:rsidRPr="00896338" w:rsidRDefault="00896338" w:rsidP="00F017A4">
      <w:pPr>
        <w:pStyle w:val="Texto"/>
        <w:spacing w:after="80" w:line="252" w:lineRule="exact"/>
        <w:rPr>
          <w:b/>
          <w:szCs w:val="24"/>
        </w:rPr>
      </w:pPr>
      <w:r w:rsidRPr="00896338">
        <w:rPr>
          <w:b/>
          <w:szCs w:val="24"/>
        </w:rPr>
        <w:t>III. Productos</w:t>
      </w:r>
    </w:p>
    <w:p w14:paraId="78337F96" w14:textId="77777777" w:rsidR="00896338" w:rsidRPr="00896338" w:rsidRDefault="00896338" w:rsidP="00F017A4">
      <w:pPr>
        <w:pStyle w:val="Texto"/>
        <w:spacing w:after="80" w:line="252" w:lineRule="exact"/>
        <w:rPr>
          <w:szCs w:val="24"/>
        </w:rPr>
      </w:pPr>
      <w:r w:rsidRPr="00896338">
        <w:rPr>
          <w:szCs w:val="24"/>
        </w:rPr>
        <w:t>Para el cálculo mensual de los ingresos por concepto de productos se utilizó la información proporcionada por las dependencias de la Administración Pública Federal, de acuerdo con lo dispuesto en el artículo 11 de la Ley de Ingresos de la Federación para el Ejercicio Fiscal de 2020, así como en el Oficio Circular por el que se establecen los procedimientos para el informe, dictamen, notificación o constancia de registro de los ingresos excedentes obtenidos durante el ejercicio por la Oficina de la Presidencia de la Republica, las dependencias y entidades de la Administración Pública Federal, así como por los poderes Legislativo y Judicial, los entes autónomos y Tribunales Administrativos, publicado en el Diario Oficial de la Federación el 29 de mayo de 2019, en el sentido de que las referidas dependencias deben informar a la SHCP sobre los ingresos percibidos por productos, durante el primer semestre del ejercicio fiscal en curso, así como de los que esperen percibir durante el segundo semestre del año en curso y en el ejercicio inmediato siguiente.</w:t>
      </w:r>
    </w:p>
    <w:p w14:paraId="6AB28F15" w14:textId="77777777" w:rsidR="00896338" w:rsidRPr="00896338" w:rsidRDefault="00896338" w:rsidP="00F017A4">
      <w:pPr>
        <w:pStyle w:val="Texto"/>
        <w:spacing w:after="68" w:line="252" w:lineRule="exact"/>
        <w:rPr>
          <w:szCs w:val="24"/>
        </w:rPr>
      </w:pPr>
      <w:r w:rsidRPr="00896338">
        <w:rPr>
          <w:szCs w:val="24"/>
        </w:rPr>
        <w:t>Los informes mencionados se solicitaron a las Secretarías de Estado y a los órganos administrativos desconcentrados dependientes del Ejecutivo Federal.</w:t>
      </w:r>
    </w:p>
    <w:p w14:paraId="5F28008E" w14:textId="77777777" w:rsidR="00896338" w:rsidRPr="00896338" w:rsidRDefault="00896338" w:rsidP="00F017A4">
      <w:pPr>
        <w:pStyle w:val="Texto"/>
        <w:spacing w:after="68" w:line="252" w:lineRule="exact"/>
        <w:rPr>
          <w:szCs w:val="24"/>
        </w:rPr>
      </w:pPr>
      <w:r w:rsidRPr="00896338">
        <w:rPr>
          <w:szCs w:val="24"/>
        </w:rPr>
        <w:t>En virtud de que la política de fijación de cuotas por concepto de productos está orientada principalmente a la actualización de las mismas, para realizar el pronóstico de los ingresos correspondientes se aplicó a los pronósticos de cierre de 2020 la inflación esperada para el próximo ejercicio.</w:t>
      </w:r>
    </w:p>
    <w:p w14:paraId="1CAA1EF4" w14:textId="77777777" w:rsidR="00896338" w:rsidRPr="00896338" w:rsidRDefault="00896338" w:rsidP="00F017A4">
      <w:pPr>
        <w:pStyle w:val="Texto"/>
        <w:spacing w:after="68" w:line="252" w:lineRule="exact"/>
        <w:rPr>
          <w:szCs w:val="24"/>
        </w:rPr>
      </w:pPr>
      <w:r w:rsidRPr="00896338">
        <w:rPr>
          <w:szCs w:val="24"/>
        </w:rPr>
        <w:t>En el caso de la calendarización mensual, en este renglón también se utilizaron factores de estacionalidad obtenidos de la distribución mensual histórica de entre uno y tres años anteriores, dependiendo de la disponibilidad de información para los productos que se distribuyen. Dicha información fue proporcionada por el SAT.</w:t>
      </w:r>
    </w:p>
    <w:p w14:paraId="4572488A" w14:textId="77777777" w:rsidR="00896338" w:rsidRPr="00896338" w:rsidRDefault="00896338" w:rsidP="00F017A4">
      <w:pPr>
        <w:pStyle w:val="Texto"/>
        <w:spacing w:after="68" w:line="252" w:lineRule="exact"/>
        <w:rPr>
          <w:b/>
          <w:szCs w:val="24"/>
        </w:rPr>
      </w:pPr>
      <w:r w:rsidRPr="00896338">
        <w:rPr>
          <w:b/>
          <w:szCs w:val="24"/>
        </w:rPr>
        <w:t>IV. Aprovechamientos</w:t>
      </w:r>
    </w:p>
    <w:p w14:paraId="4C559E10" w14:textId="77777777" w:rsidR="00896338" w:rsidRPr="00896338" w:rsidRDefault="00896338" w:rsidP="00F017A4">
      <w:pPr>
        <w:pStyle w:val="Texto"/>
        <w:spacing w:after="68" w:line="252" w:lineRule="exact"/>
        <w:rPr>
          <w:szCs w:val="24"/>
        </w:rPr>
      </w:pPr>
      <w:r w:rsidRPr="00896338">
        <w:rPr>
          <w:szCs w:val="24"/>
        </w:rPr>
        <w:t>Para el cálculo mensual de los ingresos por concepto de aprovechamientos se utilizó la información proporcionada por las dependencias de la Administración Pública Federal y órganos constitucionales autónomos, de acuerdo con lo dispuesto por el artículo 10 de la Ley de Ingresos de la Federación para el Ejercicio Fiscal de 2020, así como en el Oficio Circular por el que se establecen los procedimientos para el informe, dictamen, notificación o constancia de registro de los ingresos excedentes obtenidos durante el ejercicio por la Oficina de la Presidencia de la Republica, las dependencias y entidades de la Administración Pública Federal, así como por los poderes Legislativo y Judicial, los entes autónomos y Tribunales Administrativos, publicado en el Diario Oficial de la Federación el 29 de mayo de 2019, en el sentido de que las referidas dependencias de la Administración Pública Federal deben informar a la SHCP, sobre los ingresos percibidos por aprovechamientos, durante el primer semestre del ejercicio fiscal en curso, así como de los que tengan programado percibir durante el segundo semestre del año en curso y en el ejercicio inmediato siguiente.</w:t>
      </w:r>
    </w:p>
    <w:p w14:paraId="0B9DB40B" w14:textId="77777777" w:rsidR="00896338" w:rsidRPr="00896338" w:rsidRDefault="00896338" w:rsidP="00F017A4">
      <w:pPr>
        <w:pStyle w:val="Texto"/>
        <w:spacing w:after="68" w:line="252" w:lineRule="exact"/>
        <w:rPr>
          <w:szCs w:val="24"/>
        </w:rPr>
      </w:pPr>
      <w:r w:rsidRPr="00896338">
        <w:rPr>
          <w:szCs w:val="24"/>
        </w:rPr>
        <w:t>Como en el caso de los derechos y los productos, los informes mencionados se solicitaron a las Secretarías de Estado y a los órganos administrativos desconcentrados dependientes del Ejecutivo Federal.</w:t>
      </w:r>
    </w:p>
    <w:p w14:paraId="3C10B083" w14:textId="77777777" w:rsidR="00896338" w:rsidRPr="00896338" w:rsidRDefault="00896338" w:rsidP="00F017A4">
      <w:pPr>
        <w:pStyle w:val="Texto"/>
        <w:spacing w:after="68" w:line="252" w:lineRule="exact"/>
        <w:rPr>
          <w:szCs w:val="24"/>
        </w:rPr>
      </w:pPr>
      <w:r w:rsidRPr="00896338">
        <w:rPr>
          <w:szCs w:val="24"/>
        </w:rPr>
        <w:t xml:space="preserve">Si bien la política de fijación de cuotas por concepto de aprovechamientos consiste básicamente en su actualización, también se tomó en cuenta que la prestación de servicios públicos y el otorgamiento del uso, </w:t>
      </w:r>
      <w:r w:rsidRPr="00896338">
        <w:rPr>
          <w:szCs w:val="24"/>
        </w:rPr>
        <w:lastRenderedPageBreak/>
        <w:t>goce, aprovechamiento o explotación de bienes sujetos al régimen de dominio público de la Federación relacionados con los aprovechamientos están vinculados principalmente con actividades productivas que crecen conforme a la actividad económica. Por ello, para pronosticar los ingresos por concepto de aprovechamientos se aplicaron ambos factores: inflación y crecimiento económico real, esperados para 2021.</w:t>
      </w:r>
    </w:p>
    <w:p w14:paraId="67505300" w14:textId="77777777" w:rsidR="00896338" w:rsidRPr="00896338" w:rsidRDefault="00896338" w:rsidP="00F017A4">
      <w:pPr>
        <w:pStyle w:val="Texto"/>
        <w:spacing w:after="68" w:line="252" w:lineRule="exact"/>
        <w:rPr>
          <w:szCs w:val="24"/>
        </w:rPr>
      </w:pPr>
      <w:r w:rsidRPr="00896338">
        <w:rPr>
          <w:szCs w:val="24"/>
        </w:rPr>
        <w:t>Para la distribución mensual se utilizaron factores estacionales que reflejan la forma como se han comportado estos ingresos históricamente, de acuerdo a información de entre uno y tres años atrás, dependiendo de la disponibilidad de dicha información. Ésta fue proporcionada por el SAT.</w:t>
      </w:r>
    </w:p>
    <w:p w14:paraId="0F8D16CC" w14:textId="77777777" w:rsidR="00896338" w:rsidRPr="00896338" w:rsidRDefault="00896338" w:rsidP="00F017A4">
      <w:pPr>
        <w:pStyle w:val="Texto"/>
        <w:spacing w:after="68" w:line="252" w:lineRule="exact"/>
        <w:rPr>
          <w:b/>
          <w:szCs w:val="24"/>
        </w:rPr>
      </w:pPr>
      <w:r w:rsidRPr="00896338">
        <w:rPr>
          <w:b/>
          <w:szCs w:val="24"/>
        </w:rPr>
        <w:t>V. Transferencias del Fondo Mexicano del Petróleo para la Estabilización y el Desarrollo</w:t>
      </w:r>
    </w:p>
    <w:p w14:paraId="32B043E3" w14:textId="77777777" w:rsidR="00896338" w:rsidRPr="00896338" w:rsidRDefault="00896338" w:rsidP="00F017A4">
      <w:pPr>
        <w:pStyle w:val="Texto"/>
        <w:spacing w:after="68" w:line="252" w:lineRule="exact"/>
        <w:rPr>
          <w:szCs w:val="24"/>
        </w:rPr>
      </w:pPr>
      <w:r w:rsidRPr="00896338">
        <w:rPr>
          <w:szCs w:val="24"/>
        </w:rPr>
        <w:t>Para el pronóstico del volumen mensual de los ingresos del Gobierno Federal procedentes del Fondo Mexicano del Petróleo para la Estabilización y el Desarrollo, se consideraron la trayectoria del precio del petróleo y del gas natural; la plataforma de extracción de petróleo crudo y gas natural; y el tipo de cambio. Lo anterior, de acuerdo con información proporcionada por Petróleos Mexicanos (Pemex), así como lo establecido en las disposiciones fiscales en vigor aplicables.</w:t>
      </w:r>
    </w:p>
    <w:p w14:paraId="2F2922A6" w14:textId="77777777" w:rsidR="00896338" w:rsidRPr="00896338" w:rsidRDefault="00896338" w:rsidP="00F017A4">
      <w:pPr>
        <w:pStyle w:val="Texto"/>
        <w:spacing w:after="68" w:line="256" w:lineRule="exact"/>
        <w:rPr>
          <w:b/>
          <w:szCs w:val="24"/>
        </w:rPr>
      </w:pPr>
      <w:r w:rsidRPr="00896338">
        <w:rPr>
          <w:b/>
          <w:szCs w:val="24"/>
        </w:rPr>
        <w:t>B. Ingresos de Organismos y Empresas</w:t>
      </w:r>
    </w:p>
    <w:p w14:paraId="58230335" w14:textId="77777777" w:rsidR="00896338" w:rsidRPr="00896338" w:rsidRDefault="00896338" w:rsidP="00F017A4">
      <w:pPr>
        <w:pStyle w:val="Texto"/>
        <w:spacing w:after="68" w:line="256" w:lineRule="exact"/>
        <w:rPr>
          <w:b/>
          <w:szCs w:val="24"/>
        </w:rPr>
      </w:pPr>
      <w:r w:rsidRPr="00896338">
        <w:rPr>
          <w:b/>
          <w:szCs w:val="24"/>
        </w:rPr>
        <w:t>I. Ingresos de Pemex</w:t>
      </w:r>
    </w:p>
    <w:p w14:paraId="523EFE57" w14:textId="77777777" w:rsidR="00896338" w:rsidRPr="00896338" w:rsidRDefault="00896338" w:rsidP="00F017A4">
      <w:pPr>
        <w:pStyle w:val="Texto"/>
        <w:spacing w:after="68" w:line="256" w:lineRule="exact"/>
        <w:rPr>
          <w:szCs w:val="24"/>
        </w:rPr>
      </w:pPr>
      <w:r w:rsidRPr="00896338">
        <w:rPr>
          <w:szCs w:val="24"/>
        </w:rPr>
        <w:t>Los ingresos propios mensuales de Pemex se determinaron en función de la información proporcionada por esa empresa productiva del Estado sobre la trayectoria de las ventas de los productos que comercializa, de la plataforma de extracción de petróleo crudo y gas natural, y considerando el régimen fiscal al que está sujeta la empresa a partir de 2015.</w:t>
      </w:r>
    </w:p>
    <w:p w14:paraId="55B033A2" w14:textId="77777777" w:rsidR="00896338" w:rsidRPr="00896338" w:rsidRDefault="00896338" w:rsidP="00F017A4">
      <w:pPr>
        <w:pStyle w:val="Texto"/>
        <w:spacing w:after="68" w:line="256" w:lineRule="exact"/>
        <w:rPr>
          <w:b/>
          <w:szCs w:val="24"/>
        </w:rPr>
      </w:pPr>
      <w:r w:rsidRPr="00896338">
        <w:rPr>
          <w:b/>
          <w:szCs w:val="24"/>
        </w:rPr>
        <w:t>II. Ingresos de la Comisión Federal de Electricidad (CFE)</w:t>
      </w:r>
    </w:p>
    <w:p w14:paraId="63B9BA7F" w14:textId="77777777" w:rsidR="00896338" w:rsidRPr="00896338" w:rsidRDefault="00896338" w:rsidP="00F017A4">
      <w:pPr>
        <w:pStyle w:val="Texto"/>
        <w:spacing w:after="68" w:line="256" w:lineRule="exact"/>
        <w:rPr>
          <w:szCs w:val="24"/>
        </w:rPr>
      </w:pPr>
      <w:r w:rsidRPr="00896338">
        <w:rPr>
          <w:szCs w:val="24"/>
        </w:rPr>
        <w:t>El pronóstico de los ingresos contenido en la LIF 2021 de la CFE, corresponde al que en su oportunidad envió la empresa a la SHCP y que, a su vez, fue el aprobado por su Consejo de Administración. La empresa productiva del Estado consideró información consistente con el marco macroeconómico incorporado en los Criterios Generales de Política Económica para la Iniciativa de Ley de Ingresos y el Proyecto de Presupuesto de Egresos de la Federación correspondientes al ejercicio fiscal 2021, de donde se obtienen variables como el Producto Interno Bruto, el tipo de cambio del peso respecto al dólar de los Estados Unidos de América y la inflación anual, así como de diversos precios de los combustibles utilizados por la empresa productiva del Estado en la generación de energía eléctrica.</w:t>
      </w:r>
    </w:p>
    <w:p w14:paraId="67348282" w14:textId="77777777" w:rsidR="00896338" w:rsidRPr="00896338" w:rsidRDefault="00896338" w:rsidP="00F017A4">
      <w:pPr>
        <w:pStyle w:val="Texto"/>
        <w:spacing w:after="68" w:line="256" w:lineRule="exact"/>
        <w:rPr>
          <w:szCs w:val="24"/>
        </w:rPr>
      </w:pPr>
      <w:r w:rsidRPr="00896338">
        <w:rPr>
          <w:szCs w:val="24"/>
        </w:rPr>
        <w:t>Los ingresos a nivel devengable resultaron de multiplicar el precio medio de cada tarifa y cada mes por el volumen de energía eléctrica de la tarifa y mes correspondiente. Para obtener los ingresos en flujo de efectivo a usuario final, se aplicaron a los ingresos a nivel devengable un factor de cobranza proyectado para cada tarifa y mes, el cual tiene un rezago de un mes en la facturación. La calendarización resulta de la aplicación de la política de precios vigente y de las ventas proyectadas por mes y tarifa.</w:t>
      </w:r>
    </w:p>
    <w:p w14:paraId="647FB667" w14:textId="77777777" w:rsidR="00896338" w:rsidRPr="00896338" w:rsidRDefault="00896338" w:rsidP="00F017A4">
      <w:pPr>
        <w:pStyle w:val="Texto"/>
        <w:spacing w:after="68" w:line="256" w:lineRule="exact"/>
        <w:rPr>
          <w:szCs w:val="24"/>
        </w:rPr>
      </w:pPr>
      <w:r w:rsidRPr="00896338">
        <w:rPr>
          <w:szCs w:val="24"/>
        </w:rPr>
        <w:t>Adicionalmente, los ingresos diversos (materiales y equipo de desecho, penalización a proveedores y contratistas, porteo de energía eléctrica, renta de torres y postes, y recuperación de seguros, entre otros), se calcularon a partir de los ingresos pronosticados para el ejercicio inmediato anterior, actualizados por la variación en la inflación anual proyectada para el ejercicio fiscal de 2021.</w:t>
      </w:r>
    </w:p>
    <w:p w14:paraId="12856CF4" w14:textId="77777777" w:rsidR="00896338" w:rsidRPr="00896338" w:rsidRDefault="00896338" w:rsidP="00F017A4">
      <w:pPr>
        <w:pStyle w:val="Texto"/>
        <w:spacing w:after="68" w:line="256" w:lineRule="exact"/>
        <w:rPr>
          <w:b/>
          <w:szCs w:val="24"/>
        </w:rPr>
      </w:pPr>
      <w:r w:rsidRPr="00896338">
        <w:rPr>
          <w:b/>
          <w:szCs w:val="24"/>
        </w:rPr>
        <w:t>III. Ingresos del Instituto de Seguridad y Servicios Sociales de los Trabajadores del Estado (ISSSTE) y del Instituto Mexicano del Seguro Social (IMSS)</w:t>
      </w:r>
    </w:p>
    <w:p w14:paraId="23B196D2" w14:textId="77777777" w:rsidR="00896338" w:rsidRPr="00896338" w:rsidRDefault="00896338" w:rsidP="00F017A4">
      <w:pPr>
        <w:pStyle w:val="Texto"/>
        <w:spacing w:after="68" w:line="256" w:lineRule="exact"/>
        <w:rPr>
          <w:b/>
          <w:szCs w:val="24"/>
        </w:rPr>
      </w:pPr>
      <w:r w:rsidRPr="00896338">
        <w:rPr>
          <w:b/>
          <w:szCs w:val="24"/>
        </w:rPr>
        <w:t>III.1 ISSSTE</w:t>
      </w:r>
    </w:p>
    <w:p w14:paraId="6EF3C962" w14:textId="77777777" w:rsidR="00896338" w:rsidRPr="00896338" w:rsidRDefault="00896338" w:rsidP="00F017A4">
      <w:pPr>
        <w:pStyle w:val="Texto"/>
        <w:spacing w:after="68" w:line="256" w:lineRule="exact"/>
        <w:rPr>
          <w:szCs w:val="24"/>
        </w:rPr>
      </w:pPr>
      <w:r w:rsidRPr="00896338">
        <w:rPr>
          <w:szCs w:val="24"/>
        </w:rPr>
        <w:t>Los ingresos propios del ISSSTE se pronostican por rama de aseguramiento y para cada uno de los siguientes integrantes de dicho organismo: el ISSSTE-Asegurador, SuperISSSTE y el Sistema de Agencias Turísticas del ISSSTE. Asimismo, se consideran las comisiones del Fondo de la Vivienda del Instituto de Seguridad y Servicios Sociales de los Trabajadores del Estado (FOVISSSTE) y del Fondo Nacional de Pensiones de los Trabajadores al Servicio del Estado (PENSIONISSSTE).</w:t>
      </w:r>
    </w:p>
    <w:p w14:paraId="19819F4D" w14:textId="77777777" w:rsidR="00896338" w:rsidRPr="00896338" w:rsidRDefault="00896338" w:rsidP="00F017A4">
      <w:pPr>
        <w:pStyle w:val="Texto"/>
        <w:spacing w:after="68" w:line="256" w:lineRule="exact"/>
        <w:rPr>
          <w:szCs w:val="24"/>
        </w:rPr>
      </w:pPr>
      <w:r w:rsidRPr="00896338">
        <w:rPr>
          <w:szCs w:val="24"/>
        </w:rPr>
        <w:t xml:space="preserve">Respecto a los ingresos por prestación de servicios, el ISSSTE-Asegurador recibe cuotas de los trabajadores. El pronóstico está basado en las cuotas y aportaciones que establece la Ley del ISSSTE, en el incremento del salario básico de cotización y en el número de cotizantes promedio. Cabe señalar que en la </w:t>
      </w:r>
      <w:r w:rsidRPr="00896338">
        <w:rPr>
          <w:szCs w:val="24"/>
        </w:rPr>
        <w:lastRenderedPageBreak/>
        <w:t>prestación de servicios se incluyen los recursos correspondientes al seguro de cesantía en edad avanzada y vejez, los ingresos provenientes de las Estancias para el Bienestar y Desarrollo Infantil, así como los recursos que se obtienen por los servicios de velatorios y turísticos.</w:t>
      </w:r>
    </w:p>
    <w:p w14:paraId="1CC919A0" w14:textId="77777777" w:rsidR="00896338" w:rsidRPr="00896338" w:rsidRDefault="00896338" w:rsidP="00F017A4">
      <w:pPr>
        <w:pStyle w:val="Texto"/>
        <w:spacing w:after="68" w:line="256" w:lineRule="exact"/>
        <w:rPr>
          <w:szCs w:val="24"/>
        </w:rPr>
      </w:pPr>
      <w:r w:rsidRPr="00896338">
        <w:rPr>
          <w:szCs w:val="24"/>
        </w:rPr>
        <w:t>Para la calendarización se considera la estacionalidad de los cotizantes, a través de factores históricos mensuales. En el caso del incremento en el salario básico de cotización se toma en cuenta la estacionalidad con la que se van reflejando las revisiones contractuales por entidad u organismo, por lo que se consideran factores históricos mensuales sobre la evolución del mismo. Se debe señalar que la recuperación de la emisión de la quincena 24 (última del año), y los ingresos de las cuotas y aportaciones del último bimestre del año, provenientes del seguro de cesantía en edad avanzada y vejez, se recuperan en el mes de enero del siguiente ejercicio, por lo cual no se incorporan en el pronóstico de 2021.</w:t>
      </w:r>
    </w:p>
    <w:p w14:paraId="69E8E1FE" w14:textId="77777777" w:rsidR="00896338" w:rsidRPr="00896338" w:rsidRDefault="00896338" w:rsidP="00F017A4">
      <w:pPr>
        <w:pStyle w:val="Texto"/>
        <w:spacing w:after="68" w:line="256" w:lineRule="exact"/>
        <w:rPr>
          <w:szCs w:val="24"/>
        </w:rPr>
      </w:pPr>
      <w:r w:rsidRPr="00896338">
        <w:rPr>
          <w:szCs w:val="24"/>
        </w:rPr>
        <w:t>Los ingresos por la venta de bienes representan la utilidad que se obtiene de las ventas brutas de la red de tiendas y farmacias menos el costo de ventas. Lo anterior, se calcula considerando las expectativas de inflación y el consumo privado para el ejercicio fiscal de que se trate, así como el margen de utilidad observado y su tendencia.</w:t>
      </w:r>
    </w:p>
    <w:p w14:paraId="2632C96E" w14:textId="77777777" w:rsidR="00896338" w:rsidRPr="00896338" w:rsidRDefault="00896338" w:rsidP="00F017A4">
      <w:pPr>
        <w:pStyle w:val="Texto"/>
        <w:spacing w:after="68" w:line="236" w:lineRule="exact"/>
        <w:rPr>
          <w:szCs w:val="24"/>
        </w:rPr>
      </w:pPr>
      <w:r w:rsidRPr="00896338">
        <w:rPr>
          <w:szCs w:val="24"/>
        </w:rPr>
        <w:t>En el caso de los ingresos diversos, para los productos financieros se considera la magnitud y acumulación de disponibilidades financieras y la tasa de interés promedio esperada según los Criterios Generales de Política Económica para la Iniciativa de Ley de Ingresos y el Proyecto de Presupuesto de Egresos de la Federación correspondientes al ejercicio fiscal 2021, así como los intereses moratorios.</w:t>
      </w:r>
    </w:p>
    <w:p w14:paraId="056659FB" w14:textId="77777777" w:rsidR="00896338" w:rsidRPr="00896338" w:rsidRDefault="00896338" w:rsidP="00F017A4">
      <w:pPr>
        <w:pStyle w:val="Texto"/>
        <w:spacing w:after="68" w:line="236" w:lineRule="exact"/>
        <w:rPr>
          <w:b/>
          <w:szCs w:val="24"/>
        </w:rPr>
      </w:pPr>
      <w:r w:rsidRPr="00896338">
        <w:rPr>
          <w:b/>
          <w:szCs w:val="24"/>
        </w:rPr>
        <w:t>III.2 IMSS</w:t>
      </w:r>
    </w:p>
    <w:p w14:paraId="42969D91" w14:textId="77777777" w:rsidR="00896338" w:rsidRPr="00896338" w:rsidRDefault="00896338" w:rsidP="00F017A4">
      <w:pPr>
        <w:pStyle w:val="Texto"/>
        <w:spacing w:after="68" w:line="236" w:lineRule="exact"/>
        <w:rPr>
          <w:szCs w:val="24"/>
        </w:rPr>
      </w:pPr>
      <w:r w:rsidRPr="00896338">
        <w:rPr>
          <w:szCs w:val="24"/>
        </w:rPr>
        <w:t>Desde el ejercicio fiscal de 2003, el IMSS ha remitido a la SHCP el anteproyecto de presupuesto aprobado por su Consejo Técnico, de conformidad con el artículo 276 de la Ley del Seguro Social, con el fin de que se incluya en la Iniciativa de Ley de Ingresos y en el Proyecto de Presupuesto de Egresos de la Federación que se sometan a la aprobación del Congreso de la Unión.</w:t>
      </w:r>
    </w:p>
    <w:p w14:paraId="2727A409" w14:textId="77777777" w:rsidR="00896338" w:rsidRPr="00896338" w:rsidRDefault="00896338" w:rsidP="00F017A4">
      <w:pPr>
        <w:pStyle w:val="Texto"/>
        <w:spacing w:after="68" w:line="236" w:lineRule="exact"/>
        <w:rPr>
          <w:szCs w:val="24"/>
        </w:rPr>
      </w:pPr>
      <w:r w:rsidRPr="00896338">
        <w:rPr>
          <w:szCs w:val="24"/>
        </w:rPr>
        <w:t>En ese contexto, el IMSS remitió a la SHCP el anteproyecto de presupuesto 2021 que fue aprobado por su Consejo Técnico.</w:t>
      </w:r>
    </w:p>
    <w:p w14:paraId="36CCB760" w14:textId="77777777" w:rsidR="00896338" w:rsidRPr="00896338" w:rsidRDefault="00896338" w:rsidP="00F017A4">
      <w:pPr>
        <w:pStyle w:val="Texto"/>
        <w:spacing w:after="68" w:line="236" w:lineRule="exact"/>
        <w:rPr>
          <w:szCs w:val="24"/>
        </w:rPr>
      </w:pPr>
      <w:r w:rsidRPr="00896338">
        <w:rPr>
          <w:szCs w:val="24"/>
        </w:rPr>
        <w:t>En cuanto a los ingresos por cuotas obrero-patronales, el Instituto realiza el pronóstico del incremento promedio anual en el número de cotizantes al IMSS, el incremento nominal promedio en el salario base de cotización, el promedio mensual de días de cotización y las cuotas tanto del trabajador como del patrón, por ramo de seguro, conforme a lo establecido en la Ley del Seguro Social y en el Reglamento de la Ley del Seguro Social en Materia de Afiliación, Clasificación de Empresas, Recaudación y Fiscalización.</w:t>
      </w:r>
    </w:p>
    <w:p w14:paraId="66A3AA00" w14:textId="77777777" w:rsidR="00896338" w:rsidRDefault="00896338" w:rsidP="00F017A4">
      <w:pPr>
        <w:pStyle w:val="Texto"/>
        <w:spacing w:after="68" w:line="236" w:lineRule="exact"/>
      </w:pPr>
      <w:r w:rsidRPr="00896338">
        <w:t>En cuanto a los ingresos por productos financieros, éstos se derivan de la inversión y uso de las disponibilidades del IMSS, la variación de las reservas financieras, las tasas de interés del mercado, así como los intereses moratorios y multas.</w:t>
      </w:r>
    </w:p>
    <w:p w14:paraId="2FBDB0D2" w14:textId="77777777" w:rsidR="00896338" w:rsidRPr="00054A7A" w:rsidRDefault="00896338" w:rsidP="00F017A4">
      <w:pPr>
        <w:pStyle w:val="Texto"/>
        <w:spacing w:after="68" w:line="236" w:lineRule="exact"/>
        <w:rPr>
          <w:lang w:val="es-ES_tradnl"/>
        </w:rPr>
      </w:pPr>
      <w:r w:rsidRPr="00054A7A">
        <w:rPr>
          <w:lang w:val="es-ES_tradnl"/>
        </w:rPr>
        <w:t>Atentamente.</w:t>
      </w:r>
    </w:p>
    <w:p w14:paraId="1B353492" w14:textId="77777777" w:rsidR="00A81D62" w:rsidRDefault="00896338" w:rsidP="00F017A4">
      <w:pPr>
        <w:pStyle w:val="Texto"/>
        <w:spacing w:after="80" w:line="236" w:lineRule="exact"/>
        <w:rPr>
          <w:lang w:val="es-ES_tradnl"/>
        </w:rPr>
      </w:pPr>
      <w:r w:rsidRPr="00054A7A">
        <w:rPr>
          <w:lang w:val="es-ES_tradnl"/>
        </w:rPr>
        <w:t>Ciudad de México, a 11 de diciembre de 2020</w:t>
      </w:r>
      <w:r w:rsidR="00054A7A">
        <w:rPr>
          <w:lang w:val="es-ES_tradnl"/>
        </w:rPr>
        <w:t xml:space="preserve">.- </w:t>
      </w:r>
      <w:r w:rsidRPr="00054A7A">
        <w:rPr>
          <w:lang w:val="es-ES_tradnl"/>
        </w:rPr>
        <w:t>En suplencia por ausencia del Secretario de Hacienda y Crédito Público y con fundamento en el artículo 105 del Reglamento Interior de esta Secretaría,</w:t>
      </w:r>
      <w:r w:rsidR="00C60079">
        <w:rPr>
          <w:lang w:val="es-ES_tradnl"/>
        </w:rPr>
        <w:t xml:space="preserve"> </w:t>
      </w:r>
      <w:r w:rsidRPr="00054A7A">
        <w:rPr>
          <w:lang w:val="es-ES_tradnl"/>
        </w:rPr>
        <w:t>el Subsecretario de Hacienda y Crédito Público</w:t>
      </w:r>
      <w:r w:rsidR="00054A7A">
        <w:rPr>
          <w:lang w:val="es-ES_tradnl"/>
        </w:rPr>
        <w:t xml:space="preserve">, </w:t>
      </w:r>
      <w:r w:rsidRPr="00896338">
        <w:rPr>
          <w:b/>
          <w:lang w:val="es-ES_tradnl"/>
        </w:rPr>
        <w:t>Gabriel Yorio González</w:t>
      </w:r>
      <w:r w:rsidR="00054A7A">
        <w:rPr>
          <w:lang w:val="es-ES_tradnl"/>
        </w:rPr>
        <w:t>.- Rúbrica.</w:t>
      </w:r>
    </w:p>
    <w:p w14:paraId="632E7511" w14:textId="77777777" w:rsidR="00F017A4" w:rsidRDefault="00F017A4" w:rsidP="00F017A4">
      <w:pPr>
        <w:pStyle w:val="Texto"/>
        <w:spacing w:after="80" w:line="256" w:lineRule="exact"/>
        <w:rPr>
          <w:lang w:val="es-ES_tradnl"/>
        </w:rPr>
      </w:pPr>
    </w:p>
    <w:p w14:paraId="084DF794" w14:textId="77777777" w:rsidR="00F017A4" w:rsidRDefault="00F017A4" w:rsidP="00F017A4">
      <w:pPr>
        <w:pStyle w:val="Texto"/>
        <w:spacing w:after="80" w:line="256" w:lineRule="exact"/>
        <w:rPr>
          <w:lang w:val="es-ES_tradnl"/>
        </w:rPr>
      </w:pPr>
    </w:p>
    <w:p w14:paraId="321F998C" w14:textId="77777777" w:rsidR="00022CB8" w:rsidRPr="00C60079" w:rsidRDefault="00022CB8" w:rsidP="00022CB8">
      <w:pPr>
        <w:pStyle w:val="Titulo1"/>
        <w:rPr>
          <w:rFonts w:cs="Times New Roman"/>
        </w:rPr>
      </w:pPr>
      <w:r w:rsidRPr="00C60079">
        <w:rPr>
          <w:rFonts w:cs="Times New Roman"/>
          <w:szCs w:val="16"/>
        </w:rPr>
        <w:t xml:space="preserve">OFICIO mediante el cual se autoriza la modificación al proemio, </w:t>
      </w:r>
      <w:r w:rsidRPr="00C60079">
        <w:rPr>
          <w:rFonts w:cs="Times New Roman"/>
        </w:rPr>
        <w:t>los artículos primero, segundo y tercero, primer párrafo y fracción I, de la autorización otorgada a Armour Secure Insurance, S.A. de C.V.</w:t>
      </w:r>
    </w:p>
    <w:p w14:paraId="01524CDB" w14:textId="77777777" w:rsidR="00022CB8" w:rsidRPr="00C60079" w:rsidRDefault="00022CB8" w:rsidP="00022CB8">
      <w:pPr>
        <w:pStyle w:val="Titulo2"/>
        <w:rPr>
          <w:szCs w:val="16"/>
        </w:rPr>
      </w:pPr>
      <w:r w:rsidRPr="00C60079">
        <w:t xml:space="preserve">Al margen un sello con el Escudo Nacional, que dice: Estados Unidos Mexicanos.- SHCP.- Secretaría de Hacienda y Crédito Público.- Subsecretaría de Hacienda y Crédito Público.- </w:t>
      </w:r>
      <w:r w:rsidRPr="00C60079">
        <w:rPr>
          <w:szCs w:val="16"/>
        </w:rPr>
        <w:t xml:space="preserve">Unidad de Seguros, Pensiones y  Seguridad Social.- Dirección General Adjunta Jurídica de Seguros, Fianzas y Pensiones.- Oficio </w:t>
      </w:r>
      <w:r w:rsidR="00C60079" w:rsidRPr="00C60079">
        <w:rPr>
          <w:szCs w:val="16"/>
        </w:rPr>
        <w:t xml:space="preserve"> </w:t>
      </w:r>
      <w:r w:rsidRPr="00C60079">
        <w:rPr>
          <w:szCs w:val="16"/>
        </w:rPr>
        <w:t>No. 366-III-319/15.</w:t>
      </w:r>
    </w:p>
    <w:p w14:paraId="4D5B1B7D" w14:textId="77777777" w:rsidR="00022CB8" w:rsidRPr="00E24238" w:rsidRDefault="00022CB8" w:rsidP="00F017A4">
      <w:pPr>
        <w:pStyle w:val="Texto"/>
        <w:spacing w:after="0" w:line="246" w:lineRule="exact"/>
        <w:rPr>
          <w:b/>
          <w:szCs w:val="23"/>
          <w:lang w:val="es-MX"/>
        </w:rPr>
      </w:pPr>
      <w:r w:rsidRPr="00E24238">
        <w:rPr>
          <w:b/>
          <w:szCs w:val="23"/>
          <w:lang w:val="es-MX"/>
        </w:rPr>
        <w:t>ARMOUR SECURE INSURANCE, S.A. DE C.V.</w:t>
      </w:r>
    </w:p>
    <w:p w14:paraId="3B3A7183" w14:textId="77777777" w:rsidR="00022CB8" w:rsidRPr="00E24238" w:rsidRDefault="00022CB8" w:rsidP="00F017A4">
      <w:pPr>
        <w:pStyle w:val="Texto"/>
        <w:spacing w:after="0" w:line="246" w:lineRule="exact"/>
        <w:rPr>
          <w:szCs w:val="23"/>
          <w:lang w:val="es-MX"/>
        </w:rPr>
      </w:pPr>
      <w:r w:rsidRPr="00E24238">
        <w:rPr>
          <w:szCs w:val="23"/>
          <w:lang w:val="es-MX"/>
        </w:rPr>
        <w:t>(antes Fidelity National Title Insurance de México, S.A. de C.V.)</w:t>
      </w:r>
    </w:p>
    <w:p w14:paraId="4C21917F" w14:textId="77777777" w:rsidR="00022CB8" w:rsidRPr="00E24238" w:rsidRDefault="00022CB8" w:rsidP="00F017A4">
      <w:pPr>
        <w:pStyle w:val="Texto"/>
        <w:spacing w:after="0" w:line="246" w:lineRule="exact"/>
        <w:rPr>
          <w:szCs w:val="23"/>
          <w:lang w:val="es-MX"/>
        </w:rPr>
      </w:pPr>
      <w:r w:rsidRPr="00E24238">
        <w:rPr>
          <w:szCs w:val="23"/>
          <w:lang w:val="es-MX"/>
        </w:rPr>
        <w:t>Paseo de los Tamarindos No. 400, Letra B, Piso 7</w:t>
      </w:r>
    </w:p>
    <w:p w14:paraId="3ED785FC" w14:textId="77777777" w:rsidR="00022CB8" w:rsidRPr="00E24238" w:rsidRDefault="00022CB8" w:rsidP="00F017A4">
      <w:pPr>
        <w:pStyle w:val="Texto"/>
        <w:spacing w:after="0" w:line="246" w:lineRule="exact"/>
        <w:rPr>
          <w:szCs w:val="23"/>
          <w:lang w:val="es-MX"/>
        </w:rPr>
      </w:pPr>
      <w:r w:rsidRPr="00E24238">
        <w:rPr>
          <w:szCs w:val="23"/>
          <w:lang w:val="es-MX"/>
        </w:rPr>
        <w:t>Torre Arcos, Col. Bosques de las Lomas</w:t>
      </w:r>
    </w:p>
    <w:p w14:paraId="6D3BEE02" w14:textId="77777777" w:rsidR="00022CB8" w:rsidRPr="00E24238" w:rsidRDefault="00022CB8" w:rsidP="00F017A4">
      <w:pPr>
        <w:pStyle w:val="Texto"/>
        <w:spacing w:line="246" w:lineRule="exact"/>
        <w:rPr>
          <w:szCs w:val="23"/>
          <w:lang w:val="es-MX"/>
        </w:rPr>
      </w:pPr>
      <w:r w:rsidRPr="00E24238">
        <w:rPr>
          <w:szCs w:val="23"/>
          <w:lang w:val="es-MX"/>
        </w:rPr>
        <w:t>C.P. 05120</w:t>
      </w:r>
    </w:p>
    <w:p w14:paraId="2F26BE49" w14:textId="77777777" w:rsidR="00022CB8" w:rsidRPr="00E24238" w:rsidRDefault="00022CB8" w:rsidP="00F017A4">
      <w:pPr>
        <w:pStyle w:val="Texto"/>
        <w:spacing w:line="246" w:lineRule="exact"/>
        <w:ind w:left="6840" w:hanging="810"/>
        <w:rPr>
          <w:szCs w:val="23"/>
          <w:lang w:val="es-MX"/>
        </w:rPr>
      </w:pPr>
      <w:r w:rsidRPr="00E24238">
        <w:rPr>
          <w:szCs w:val="23"/>
          <w:lang w:val="es-MX"/>
        </w:rPr>
        <w:lastRenderedPageBreak/>
        <w:t xml:space="preserve">At’n.: </w:t>
      </w:r>
      <w:r>
        <w:rPr>
          <w:szCs w:val="23"/>
          <w:lang w:val="es-MX"/>
        </w:rPr>
        <w:tab/>
      </w:r>
      <w:r w:rsidRPr="00E24238">
        <w:rPr>
          <w:szCs w:val="23"/>
          <w:lang w:val="es-MX"/>
        </w:rPr>
        <w:t>C. Lucia Treviño Barrera</w:t>
      </w:r>
    </w:p>
    <w:p w14:paraId="7C5EBE39" w14:textId="77777777" w:rsidR="00022CB8" w:rsidRPr="00E24238" w:rsidRDefault="00022CB8" w:rsidP="00F017A4">
      <w:pPr>
        <w:pStyle w:val="Texto"/>
        <w:spacing w:line="246" w:lineRule="exact"/>
        <w:ind w:left="6840" w:hanging="810"/>
        <w:rPr>
          <w:szCs w:val="23"/>
          <w:lang w:val="es-MX"/>
        </w:rPr>
      </w:pPr>
      <w:r w:rsidRPr="00E24238">
        <w:rPr>
          <w:szCs w:val="23"/>
          <w:lang w:val="es-MX"/>
        </w:rPr>
        <w:tab/>
        <w:t>Representante</w:t>
      </w:r>
    </w:p>
    <w:p w14:paraId="59B48A64" w14:textId="77777777" w:rsidR="00022CB8" w:rsidRPr="00E24238" w:rsidRDefault="00022CB8" w:rsidP="00F017A4">
      <w:pPr>
        <w:pStyle w:val="Texto"/>
        <w:spacing w:line="246" w:lineRule="exact"/>
        <w:rPr>
          <w:szCs w:val="23"/>
          <w:lang w:val="es-MX"/>
        </w:rPr>
      </w:pPr>
      <w:r w:rsidRPr="00E24238">
        <w:rPr>
          <w:szCs w:val="23"/>
          <w:lang w:val="es-MX"/>
        </w:rPr>
        <w:t xml:space="preserve">El Gobierno Federal, a través de esta Secretaría de Hacienda y Crédito Público, con fundamento en lo dispuesto por los artículos 31, fracción VIII de la Ley Orgánica de la Administración Pública Federal, 5o. de la Ley General de Instituciones y Sociedades Mutualistas de Seguros, </w:t>
      </w:r>
      <w:r w:rsidRPr="00E24238">
        <w:rPr>
          <w:lang w:val="es-MX"/>
        </w:rPr>
        <w:t>aplicable de conformidad con las Disposiciones Transitorias Primera y Quinta de la Ley de Instituciones de Seguros y de Fianzas, publicada en el Diario Oficial de la Federación el 4 de abril de 2013, vigente a partir del 4 de abril de 2015</w:t>
      </w:r>
      <w:r w:rsidRPr="00E24238">
        <w:rPr>
          <w:szCs w:val="23"/>
          <w:lang w:val="es-MX"/>
        </w:rPr>
        <w:t xml:space="preserve"> y 36, fracción VI del Reglamento Interior de la Secretaría de Hacienda y Crédito Público, emite la resolución que más adelante se indica, en atención a los siguientes antecedentes y considerandos:</w:t>
      </w:r>
    </w:p>
    <w:p w14:paraId="7E2DF790" w14:textId="77777777" w:rsidR="00022CB8" w:rsidRPr="00E24238" w:rsidRDefault="00022CB8" w:rsidP="00F017A4">
      <w:pPr>
        <w:pStyle w:val="ANOTACION"/>
        <w:spacing w:line="246" w:lineRule="exact"/>
      </w:pPr>
      <w:r w:rsidRPr="00E24238">
        <w:t>ANTECEDENTES</w:t>
      </w:r>
    </w:p>
    <w:p w14:paraId="447F5C54" w14:textId="77777777" w:rsidR="00022CB8" w:rsidRPr="00E24238" w:rsidRDefault="00022CB8" w:rsidP="00F017A4">
      <w:pPr>
        <w:pStyle w:val="ROMANOS"/>
        <w:spacing w:line="246" w:lineRule="exact"/>
        <w:rPr>
          <w:lang w:val="es-MX"/>
        </w:rPr>
      </w:pPr>
      <w:r w:rsidRPr="00E24238">
        <w:rPr>
          <w:lang w:val="es-MX"/>
        </w:rPr>
        <w:t>I.</w:t>
      </w:r>
      <w:r w:rsidRPr="00E24238">
        <w:rPr>
          <w:lang w:val="es-MX"/>
        </w:rPr>
        <w:tab/>
        <w:t>Armour Secure Insurance, S.A. de C.V., es una sociedad autorizada por esta Secretaría para funcionar como institución de seguros para practicar la operación de seguros de daños, en el ramo de diversos según consta en la resolución 101.-267 del 17 de abril de 2008 y modificada por última vez mediante oficio 366-003/12 del 11 de enero de 2012.</w:t>
      </w:r>
    </w:p>
    <w:p w14:paraId="6505D6A8" w14:textId="77777777" w:rsidR="00022CB8" w:rsidRPr="00E24238" w:rsidRDefault="00022CB8" w:rsidP="00F017A4">
      <w:pPr>
        <w:pStyle w:val="ROMANOS"/>
        <w:spacing w:line="238" w:lineRule="exact"/>
        <w:rPr>
          <w:lang w:val="es-MX"/>
        </w:rPr>
      </w:pPr>
      <w:r w:rsidRPr="00E24238">
        <w:rPr>
          <w:lang w:val="es-MX"/>
        </w:rPr>
        <w:t>II.</w:t>
      </w:r>
      <w:r w:rsidRPr="00E24238">
        <w:rPr>
          <w:lang w:val="es-MX"/>
        </w:rPr>
        <w:tab/>
        <w:t>Mediante oficio 366-III-1012/14 del 24 de noviembre de 2014, la Dirección General Adjunta Jurídica de Seguros, Fianzas y Pensiones, adscrita a la Unidad de Seguros, Pensiones y Seguridad Social, autorizó a Trebuchet Mexico Limited a adquirir 38,244,237 acciones que representan aproximadamente el 99.99% de las acciones que integran el capital social pagado de Fidelity National Title de México, S.A. de C.V. (ahora Armour Secure Insurance, S.A. de C.V.), propiedad de FNF Title International Holding Company y Fidelity National Title Insurance Company.</w:t>
      </w:r>
    </w:p>
    <w:p w14:paraId="2C08EA90" w14:textId="77777777" w:rsidR="00022CB8" w:rsidRPr="00E24238" w:rsidRDefault="00022CB8" w:rsidP="00F017A4">
      <w:pPr>
        <w:pStyle w:val="ROMANOS"/>
        <w:spacing w:line="238" w:lineRule="exact"/>
        <w:rPr>
          <w:lang w:val="es-MX"/>
        </w:rPr>
      </w:pPr>
      <w:r w:rsidRPr="00E24238">
        <w:rPr>
          <w:lang w:val="es-MX"/>
        </w:rPr>
        <w:t>III.</w:t>
      </w:r>
      <w:r w:rsidRPr="00E24238">
        <w:rPr>
          <w:lang w:val="es-MX"/>
        </w:rPr>
        <w:tab/>
        <w:t>Derivado de la autorización citada en el párrafo anterior, mediante oficio 366-III-1013/14 del 24 de noviembre de 2014,  la Dirección General Adjunta Jurídica de Seguros, Fianzas y Pensiones, adscrita a la Unidad de Seguros, Pensiones y Seguridad Social:</w:t>
      </w:r>
    </w:p>
    <w:p w14:paraId="6D1B4FA1" w14:textId="77777777" w:rsidR="00022CB8" w:rsidRPr="00E24238" w:rsidRDefault="00022CB8" w:rsidP="00F017A4">
      <w:pPr>
        <w:pStyle w:val="INCISO"/>
        <w:spacing w:line="238" w:lineRule="exact"/>
        <w:rPr>
          <w:lang w:val="es-MX"/>
        </w:rPr>
      </w:pPr>
      <w:r w:rsidRPr="00E24238">
        <w:rPr>
          <w:lang w:val="es-MX"/>
        </w:rPr>
        <w:t>a)</w:t>
      </w:r>
      <w:r w:rsidRPr="00E24238">
        <w:rPr>
          <w:lang w:val="es-MX"/>
        </w:rPr>
        <w:tab/>
        <w:t>Aprobó la reforma a la escritura constitutiva de Fidelity National Title de México, S.A. de C.V. con el fin de su transformación en una institución de seguros no filial y cumplir con la regulación aplicable en la Ley General de Instituciones y Sociedades Mutualistas de Seguros, así como por el cambio de denominación a Armour Secure Insurance, S.A. de C.V.</w:t>
      </w:r>
    </w:p>
    <w:p w14:paraId="4BCAD1F8" w14:textId="77777777" w:rsidR="00022CB8" w:rsidRPr="00E24238" w:rsidRDefault="00022CB8" w:rsidP="00F017A4">
      <w:pPr>
        <w:pStyle w:val="INCISO"/>
        <w:spacing w:line="238" w:lineRule="exact"/>
        <w:rPr>
          <w:lang w:val="es-MX"/>
        </w:rPr>
      </w:pPr>
      <w:r w:rsidRPr="00E24238">
        <w:rPr>
          <w:lang w:val="es-MX"/>
        </w:rPr>
        <w:t>b)</w:t>
      </w:r>
      <w:r w:rsidRPr="00E24238">
        <w:rPr>
          <w:lang w:val="es-MX"/>
        </w:rPr>
        <w:tab/>
        <w:t>Solicitó remitir dentro de los sesenta días hábiles siguientes, a la fecha en que se le notificó el citado oficio, el primer testimonio y tres copias simples de la escritura pública con datos de inscripción en el Registro Público de Comercio, en las que se protocolizara la reforma a la escritura constitutiva, para efecto de proceder a la modificación de su autorización para organizarse y funcionar como institución de seguros.</w:t>
      </w:r>
    </w:p>
    <w:p w14:paraId="3EE5E1F3" w14:textId="77777777" w:rsidR="00022CB8" w:rsidRPr="00E24238" w:rsidRDefault="00022CB8" w:rsidP="00F017A4">
      <w:pPr>
        <w:pStyle w:val="ROMANOS"/>
        <w:spacing w:line="238" w:lineRule="exact"/>
        <w:rPr>
          <w:lang w:val="es-MX"/>
        </w:rPr>
      </w:pPr>
      <w:r w:rsidRPr="00E24238">
        <w:rPr>
          <w:lang w:val="es-MX"/>
        </w:rPr>
        <w:t>IV.</w:t>
      </w:r>
      <w:r w:rsidRPr="00E24238">
        <w:rPr>
          <w:lang w:val="es-MX"/>
        </w:rPr>
        <w:tab/>
        <w:t>Con escrito del 11 de marzo de 2015, Armour Secure Insurance, S.A. de C.V., remitió a esta Unidad de Seguros, Pensiones y Seguridad Social, el primer testimonio y tres copias simples de la escritura pública No. 14,687 del 8 de enero de 2015, otorgada ante la fe del Lic. Antonio López Aguirre, Notario Público No. 250 del Distrito Federal, en la que consta la protocolización de la asamblea general ordinaria y extraordinaria de accionistas de Fidelity National Title de México, S.A. de C.V. del 3 de diciembre de 2014, que resolvió la reforma total de sus estatutos sociales, la cual quedó inscrita en el Registro Público de Comercio el 2 de marzo de 2015, con folio mercantil 381937*.</w:t>
      </w:r>
    </w:p>
    <w:p w14:paraId="1419EC5D" w14:textId="77777777" w:rsidR="00022CB8" w:rsidRPr="00E24238" w:rsidRDefault="00022CB8" w:rsidP="00F017A4">
      <w:pPr>
        <w:pStyle w:val="ANOTACION"/>
        <w:spacing w:line="238" w:lineRule="exact"/>
      </w:pPr>
      <w:r w:rsidRPr="00E24238">
        <w:t>CONSIDERANDOS</w:t>
      </w:r>
    </w:p>
    <w:p w14:paraId="418D7165" w14:textId="77777777" w:rsidR="00022CB8" w:rsidRPr="00E24238" w:rsidRDefault="00022CB8" w:rsidP="00F017A4">
      <w:pPr>
        <w:pStyle w:val="ROMANOS"/>
        <w:spacing w:line="238" w:lineRule="exact"/>
        <w:rPr>
          <w:lang w:val="es-MX"/>
        </w:rPr>
      </w:pPr>
      <w:r w:rsidRPr="00E24238">
        <w:rPr>
          <w:lang w:val="es-MX"/>
        </w:rPr>
        <w:t>I.</w:t>
      </w:r>
      <w:r w:rsidRPr="00E24238">
        <w:rPr>
          <w:lang w:val="es-MX"/>
        </w:rPr>
        <w:tab/>
        <w:t>Que derivado de la autorización y aprobación citadas en los Antecedentes II, y III, inciso a), se deben modificar los términos de la  autorización otorgada a esa institución de seguros.</w:t>
      </w:r>
    </w:p>
    <w:p w14:paraId="6A43FFB6" w14:textId="77777777" w:rsidR="00022CB8" w:rsidRPr="00E24238" w:rsidRDefault="00022CB8" w:rsidP="00F017A4">
      <w:pPr>
        <w:pStyle w:val="ROMANOS"/>
        <w:spacing w:line="238" w:lineRule="exact"/>
        <w:rPr>
          <w:lang w:val="es-MX"/>
        </w:rPr>
      </w:pPr>
      <w:r w:rsidRPr="00E24238">
        <w:rPr>
          <w:lang w:val="es-MX"/>
        </w:rPr>
        <w:t>II.</w:t>
      </w:r>
      <w:r w:rsidRPr="00E24238">
        <w:rPr>
          <w:lang w:val="es-MX"/>
        </w:rPr>
        <w:tab/>
        <w:t>Que remitieron a esta Secretaría el primer testimonio y tres copias simples de la escritura pública 14,687 con datos de inscripción en el Registro Público de Comercio.</w:t>
      </w:r>
    </w:p>
    <w:p w14:paraId="4DB5E905" w14:textId="77777777" w:rsidR="00022CB8" w:rsidRPr="00E24238" w:rsidRDefault="00022CB8" w:rsidP="00F017A4">
      <w:pPr>
        <w:pStyle w:val="ROMANOS"/>
        <w:spacing w:line="238" w:lineRule="exact"/>
        <w:rPr>
          <w:lang w:val="es-MX"/>
        </w:rPr>
      </w:pPr>
      <w:r w:rsidRPr="00E24238">
        <w:rPr>
          <w:lang w:val="es-MX"/>
        </w:rPr>
        <w:t>III.</w:t>
      </w:r>
      <w:r w:rsidRPr="00E24238">
        <w:rPr>
          <w:lang w:val="es-MX"/>
        </w:rPr>
        <w:tab/>
        <w:t xml:space="preserve">Que la modificación a la autorización que se otorga a Armour Secure Insurance, S.A. de C.V., se confiere al amparo de la Disposición Transitoria Quinta de la Ley de Instituciones de Seguros </w:t>
      </w:r>
      <w:r w:rsidR="00C60079">
        <w:rPr>
          <w:lang w:val="es-MX"/>
        </w:rPr>
        <w:t xml:space="preserve"> </w:t>
      </w:r>
      <w:r w:rsidRPr="00E24238">
        <w:rPr>
          <w:lang w:val="es-MX"/>
        </w:rPr>
        <w:t xml:space="preserve">y de Fianzas, publicada en el Diario Oficial de la Federación el 4 de abril de 2013, vigente a partir del 4 de abril de 2015, la cual establece que las autorizaciones que reciba esta Secretaría antes de la entrada en vigor de la citada ley, como es el caso, y que por virtud de la misma se asignen </w:t>
      </w:r>
      <w:r w:rsidR="00C60079">
        <w:rPr>
          <w:lang w:val="es-MX"/>
        </w:rPr>
        <w:t xml:space="preserve"> </w:t>
      </w:r>
      <w:r w:rsidRPr="00E24238">
        <w:rPr>
          <w:lang w:val="es-MX"/>
        </w:rPr>
        <w:t xml:space="preserve">a la Comisión Nacional de Seguros y Fianzas, serán tramitadas y resueltas por esta Secretaría, para lo cual podrá, </w:t>
      </w:r>
      <w:r w:rsidRPr="00E24238">
        <w:rPr>
          <w:lang w:val="es-MX"/>
        </w:rPr>
        <w:lastRenderedPageBreak/>
        <w:t>aún después de la entrada en vigor de la Ley de Instituciones de Seguros y de Fianzas, continuar ejerciendo las facultades conferidas con fundamento en la Ley General de Instituciones y Sociedades Mutualistas de Seguros que se abroga.</w:t>
      </w:r>
    </w:p>
    <w:p w14:paraId="56B940FA" w14:textId="77777777" w:rsidR="00022CB8" w:rsidRPr="00E24238" w:rsidRDefault="00022CB8" w:rsidP="00F017A4">
      <w:pPr>
        <w:pStyle w:val="ANOTACION"/>
        <w:spacing w:line="238" w:lineRule="exact"/>
      </w:pPr>
      <w:r w:rsidRPr="00E24238">
        <w:t>RESOLUCIÓN</w:t>
      </w:r>
    </w:p>
    <w:p w14:paraId="1BFEA0B2" w14:textId="77777777" w:rsidR="00022CB8" w:rsidRPr="00E24238" w:rsidRDefault="00022CB8" w:rsidP="00F017A4">
      <w:pPr>
        <w:pStyle w:val="Texto"/>
        <w:spacing w:line="238" w:lineRule="exact"/>
        <w:rPr>
          <w:szCs w:val="23"/>
          <w:lang w:val="es-MX"/>
        </w:rPr>
      </w:pPr>
      <w:r w:rsidRPr="00E24238">
        <w:rPr>
          <w:szCs w:val="23"/>
          <w:lang w:val="es-MX"/>
        </w:rPr>
        <w:t>Primero.- Se modifica el proemio, los artículos primero, segundo y tercero, primer párrafo y fracción I, de la autorización otorgada a Armour Secure Insurance, S.A. de C.V., para organizarse y funcionar como institución de seguros, para quedar en los siguientes términos:</w:t>
      </w:r>
    </w:p>
    <w:p w14:paraId="12679965" w14:textId="77777777" w:rsidR="00022CB8" w:rsidRPr="00E24238" w:rsidRDefault="00022CB8" w:rsidP="00F017A4">
      <w:pPr>
        <w:pStyle w:val="Texto"/>
        <w:spacing w:line="238" w:lineRule="exact"/>
        <w:ind w:left="720" w:right="720" w:firstLine="0"/>
        <w:rPr>
          <w:szCs w:val="23"/>
          <w:lang w:val="es-MX"/>
        </w:rPr>
      </w:pPr>
      <w:r w:rsidRPr="00E24238">
        <w:rPr>
          <w:szCs w:val="23"/>
          <w:lang w:val="es-MX"/>
        </w:rPr>
        <w:t>AUTORIZACIÓN QUE OTORGA EL GOBIERNO FEDERAL, A TRAVES DE LA SECRETARÍA DE HACIENDA Y CRÉDITO PÚBLICO, A ARMOUR SECURE INSURANCE, S.A. DE C.V., PARA QUE FUNCIONE COMO INSTITUCIÓN DE SEGUROS, EN LOS TERMINOS SIGUIENTES:</w:t>
      </w:r>
    </w:p>
    <w:p w14:paraId="2B746B2B" w14:textId="77777777" w:rsidR="00022CB8" w:rsidRPr="00E24238" w:rsidRDefault="00022CB8" w:rsidP="00F017A4">
      <w:pPr>
        <w:pStyle w:val="Texto"/>
        <w:spacing w:line="238" w:lineRule="exact"/>
        <w:ind w:left="720" w:right="720"/>
        <w:rPr>
          <w:szCs w:val="23"/>
          <w:lang w:val="es-MX"/>
        </w:rPr>
      </w:pPr>
      <w:r w:rsidRPr="00E24238">
        <w:rPr>
          <w:szCs w:val="23"/>
          <w:lang w:val="es-MX"/>
        </w:rPr>
        <w:t>ARTÍCULO PRIMERO.- En uso de la facultad que al Gobierno Federal, a través de la Secretaría de Hacienda y Crédito Público, confiere el artículo 5o. de la Ley General de Instituciones y Sociedades Mutualistas de Seguros, se autoriza a Armour Secure Insurance, S.A. de C.V., para que funcione como institución de seguros.</w:t>
      </w:r>
    </w:p>
    <w:p w14:paraId="2C40224B" w14:textId="77777777" w:rsidR="00022CB8" w:rsidRPr="00E24238" w:rsidRDefault="00022CB8" w:rsidP="00F017A4">
      <w:pPr>
        <w:pStyle w:val="Texto"/>
        <w:spacing w:line="250" w:lineRule="exact"/>
        <w:ind w:left="720" w:right="720"/>
        <w:rPr>
          <w:szCs w:val="23"/>
          <w:lang w:val="es-MX"/>
        </w:rPr>
      </w:pPr>
      <w:r w:rsidRPr="00E24238">
        <w:rPr>
          <w:szCs w:val="23"/>
          <w:lang w:val="es-MX"/>
        </w:rPr>
        <w:t>ARTÍCULO SEGUNDO.- La institución de seguros a que la presente resolución se refiere, está autorizada para practicar la operación de seguros de daños, en el ramo de diversos.</w:t>
      </w:r>
    </w:p>
    <w:p w14:paraId="337070A3" w14:textId="77777777" w:rsidR="00022CB8" w:rsidRPr="00E24238" w:rsidRDefault="00022CB8" w:rsidP="00F017A4">
      <w:pPr>
        <w:pStyle w:val="Texto"/>
        <w:spacing w:line="250" w:lineRule="exact"/>
        <w:ind w:left="720" w:right="720"/>
        <w:rPr>
          <w:szCs w:val="23"/>
          <w:lang w:val="es-MX"/>
        </w:rPr>
      </w:pPr>
      <w:r w:rsidRPr="00E24238">
        <w:rPr>
          <w:szCs w:val="23"/>
          <w:lang w:val="es-MX"/>
        </w:rPr>
        <w:t>ARTICULO TERCERO.- La institución de seguros se sujetará a las disposiciones de las Leyes Generales de Instituciones y Sociedades Mutualistas de Seguros, de Sociedades Mercantiles, a las demás leyes que le sean aplicables y, en particular, a las siguientes bases:</w:t>
      </w:r>
    </w:p>
    <w:p w14:paraId="7B9DEB70" w14:textId="77777777" w:rsidR="00022CB8" w:rsidRPr="00E24238" w:rsidRDefault="00022CB8" w:rsidP="00F017A4">
      <w:pPr>
        <w:pStyle w:val="Texto"/>
        <w:spacing w:line="250" w:lineRule="exact"/>
        <w:ind w:left="720" w:right="720"/>
        <w:rPr>
          <w:szCs w:val="23"/>
          <w:lang w:val="es-MX"/>
        </w:rPr>
      </w:pPr>
      <w:r w:rsidRPr="00E24238">
        <w:rPr>
          <w:szCs w:val="23"/>
          <w:lang w:val="es-MX"/>
        </w:rPr>
        <w:t>I.- La denominación será “Armour Secure Insurance” seguida de las palabras Sociedad Anónima de Capital Variable, o de sus abreviaturas S.A. de C.V.</w:t>
      </w:r>
    </w:p>
    <w:p w14:paraId="745E19CD" w14:textId="77777777" w:rsidR="00022CB8" w:rsidRPr="00E24238" w:rsidRDefault="00022CB8" w:rsidP="00F017A4">
      <w:pPr>
        <w:pStyle w:val="Texto"/>
        <w:spacing w:line="250" w:lineRule="exact"/>
        <w:ind w:left="720" w:right="720" w:firstLine="0"/>
        <w:rPr>
          <w:b/>
          <w:szCs w:val="23"/>
          <w:lang w:val="es-MX"/>
        </w:rPr>
      </w:pPr>
      <w:r w:rsidRPr="00E24238">
        <w:rPr>
          <w:szCs w:val="23"/>
          <w:lang w:val="es-MX"/>
        </w:rPr>
        <w:t xml:space="preserve">II.- </w:t>
      </w:r>
      <w:r w:rsidRPr="00E24238">
        <w:rPr>
          <w:b/>
          <w:szCs w:val="23"/>
          <w:lang w:val="es-MX"/>
        </w:rPr>
        <w:t>…</w:t>
      </w:r>
    </w:p>
    <w:p w14:paraId="5910BFE3" w14:textId="77777777" w:rsidR="00022CB8" w:rsidRPr="00E24238" w:rsidRDefault="00022CB8" w:rsidP="00F017A4">
      <w:pPr>
        <w:pStyle w:val="Texto"/>
        <w:spacing w:line="250" w:lineRule="exact"/>
        <w:ind w:left="720" w:right="720" w:firstLine="0"/>
        <w:rPr>
          <w:szCs w:val="23"/>
          <w:lang w:val="es-MX"/>
        </w:rPr>
      </w:pPr>
      <w:r w:rsidRPr="00E24238">
        <w:rPr>
          <w:szCs w:val="23"/>
          <w:lang w:val="es-MX"/>
        </w:rPr>
        <w:t>a)</w:t>
      </w:r>
    </w:p>
    <w:p w14:paraId="729E4F63" w14:textId="77777777" w:rsidR="00022CB8" w:rsidRPr="00E24238" w:rsidRDefault="00022CB8" w:rsidP="00F017A4">
      <w:pPr>
        <w:pStyle w:val="Texto"/>
        <w:spacing w:line="250" w:lineRule="exact"/>
        <w:ind w:left="720" w:right="720" w:firstLine="0"/>
        <w:rPr>
          <w:szCs w:val="23"/>
          <w:lang w:val="es-MX"/>
        </w:rPr>
      </w:pPr>
      <w:r w:rsidRPr="00E24238">
        <w:rPr>
          <w:szCs w:val="23"/>
          <w:lang w:val="es-MX"/>
        </w:rPr>
        <w:t>b)</w:t>
      </w:r>
    </w:p>
    <w:p w14:paraId="3E5886B2" w14:textId="77777777" w:rsidR="00022CB8" w:rsidRPr="00E24238" w:rsidRDefault="00022CB8" w:rsidP="00F017A4">
      <w:pPr>
        <w:pStyle w:val="Texto"/>
        <w:spacing w:line="250" w:lineRule="exact"/>
        <w:ind w:left="720" w:right="720" w:firstLine="0"/>
        <w:rPr>
          <w:szCs w:val="23"/>
          <w:lang w:val="es-MX"/>
        </w:rPr>
      </w:pPr>
      <w:r w:rsidRPr="00E24238">
        <w:rPr>
          <w:szCs w:val="23"/>
          <w:lang w:val="es-MX"/>
        </w:rPr>
        <w:t>III.-</w:t>
      </w:r>
      <w:r w:rsidRPr="00E24238">
        <w:rPr>
          <w:b/>
          <w:szCs w:val="23"/>
          <w:lang w:val="es-MX"/>
        </w:rPr>
        <w:t>…</w:t>
      </w:r>
      <w:r w:rsidRPr="00E24238">
        <w:rPr>
          <w:szCs w:val="23"/>
          <w:lang w:val="es-MX"/>
        </w:rPr>
        <w:t>”</w:t>
      </w:r>
    </w:p>
    <w:p w14:paraId="65342CB5" w14:textId="77777777" w:rsidR="00022CB8" w:rsidRPr="00E24238" w:rsidRDefault="00022CB8" w:rsidP="00F017A4">
      <w:pPr>
        <w:pStyle w:val="Texto"/>
        <w:spacing w:line="250" w:lineRule="exact"/>
        <w:rPr>
          <w:szCs w:val="23"/>
          <w:lang w:val="es-MX"/>
        </w:rPr>
      </w:pPr>
      <w:r w:rsidRPr="00E24238">
        <w:rPr>
          <w:szCs w:val="23"/>
          <w:lang w:val="es-MX"/>
        </w:rPr>
        <w:t>Segundo.- La autorización otorgada a Armour Secure Insurance, S.A. de C.V., para organizarse y funcionar como institución de seguros, después de la modificación señalada en el Resolutivo anterior, queda íntegramente en los siguientes términos:</w:t>
      </w:r>
    </w:p>
    <w:p w14:paraId="1DA417FD" w14:textId="77777777" w:rsidR="00022CB8" w:rsidRPr="00F017A4" w:rsidRDefault="00022CB8" w:rsidP="00F017A4">
      <w:pPr>
        <w:pStyle w:val="Texto"/>
        <w:spacing w:line="250" w:lineRule="exact"/>
        <w:ind w:left="720" w:right="720" w:firstLine="0"/>
        <w:rPr>
          <w:sz w:val="16"/>
          <w:szCs w:val="23"/>
          <w:lang w:val="es-MX"/>
        </w:rPr>
      </w:pPr>
      <w:r w:rsidRPr="00F017A4">
        <w:rPr>
          <w:sz w:val="16"/>
          <w:szCs w:val="23"/>
          <w:lang w:val="es-MX"/>
        </w:rPr>
        <w:t>AUTORIZACIÓN QUE OTORGA EL GOBIERNO FEDERAL, A TRAVES DE LA SECRETARÍA DE HACIENDA Y CRÉDITO PÚBLICO, A ARMOUR SECURE INSURANCE, S.A. DE C.V., PARA QUE FUNCIONE COMO INSTITUCIÓN DE SEGUROS, EN LOS TERMINOS SIGUIENTES:</w:t>
      </w:r>
    </w:p>
    <w:p w14:paraId="3B38FE88" w14:textId="77777777" w:rsidR="00022CB8" w:rsidRPr="00E24238" w:rsidRDefault="00022CB8" w:rsidP="00F017A4">
      <w:pPr>
        <w:pStyle w:val="Texto"/>
        <w:spacing w:line="250" w:lineRule="exact"/>
        <w:ind w:left="720" w:right="720"/>
        <w:rPr>
          <w:szCs w:val="23"/>
          <w:lang w:val="es-MX"/>
        </w:rPr>
      </w:pPr>
      <w:r w:rsidRPr="00E24238">
        <w:rPr>
          <w:szCs w:val="23"/>
          <w:lang w:val="es-MX"/>
        </w:rPr>
        <w:t>ARTÍCULO PRIMERO.- En uso de la facultad que al Gobierno Federal, a través de la Secretaría de Hacienda y Crédito Público, confiere el artículo 5o. de la Ley General de Instituciones y Sociedades Mutualistas de Seguros, se autoriza a Armour Secure Insurance, S.A. de C.V., para que funcione como institución de seguros.</w:t>
      </w:r>
    </w:p>
    <w:p w14:paraId="14897509" w14:textId="77777777" w:rsidR="00022CB8" w:rsidRPr="00E24238" w:rsidRDefault="00022CB8" w:rsidP="00F017A4">
      <w:pPr>
        <w:pStyle w:val="Texto"/>
        <w:spacing w:line="250" w:lineRule="exact"/>
        <w:ind w:left="720" w:right="720"/>
        <w:rPr>
          <w:szCs w:val="23"/>
          <w:lang w:val="es-MX"/>
        </w:rPr>
      </w:pPr>
      <w:r w:rsidRPr="00E24238">
        <w:rPr>
          <w:szCs w:val="23"/>
          <w:lang w:val="es-MX"/>
        </w:rPr>
        <w:t>ARTICULO SEGUNDO.- La institución de seguros a que la presente resolución se refiere, está autorizada para practicar la operación de seguros de daños, en el ramo de diversos.</w:t>
      </w:r>
    </w:p>
    <w:p w14:paraId="785B94A3" w14:textId="77777777" w:rsidR="00022CB8" w:rsidRPr="00E24238" w:rsidRDefault="00022CB8" w:rsidP="00F017A4">
      <w:pPr>
        <w:pStyle w:val="Texto"/>
        <w:spacing w:line="250" w:lineRule="exact"/>
        <w:ind w:left="720" w:right="720"/>
        <w:rPr>
          <w:szCs w:val="23"/>
          <w:lang w:val="es-MX"/>
        </w:rPr>
      </w:pPr>
      <w:r w:rsidRPr="00E24238">
        <w:rPr>
          <w:szCs w:val="23"/>
          <w:lang w:val="es-MX"/>
        </w:rPr>
        <w:t>ARTICULO TERCERO.- La institución de seguros se sujetará a las disposiciones de las Leyes Generales de Instituciones y Sociedades Mutualistas de Seguros, de Sociedades Mercantiles, a las demás leyes que le sean aplicables y, en particular, a las siguientes bases:</w:t>
      </w:r>
    </w:p>
    <w:p w14:paraId="6C621E29" w14:textId="77777777" w:rsidR="00022CB8" w:rsidRPr="00E24238" w:rsidRDefault="00022CB8" w:rsidP="00F017A4">
      <w:pPr>
        <w:pStyle w:val="Texto"/>
        <w:spacing w:line="250" w:lineRule="exact"/>
        <w:ind w:left="720" w:right="720"/>
        <w:rPr>
          <w:szCs w:val="23"/>
          <w:lang w:val="es-MX"/>
        </w:rPr>
      </w:pPr>
      <w:r w:rsidRPr="00E24238">
        <w:rPr>
          <w:szCs w:val="23"/>
          <w:lang w:val="es-MX"/>
        </w:rPr>
        <w:t>I.- La denominación será “Armour Secure Insurance” seguida de las palabras Sociedad Anónima de Capital Variable, o de sus abreviaturas S.A. de C.V.</w:t>
      </w:r>
    </w:p>
    <w:p w14:paraId="0B2BE8EF" w14:textId="77777777" w:rsidR="00022CB8" w:rsidRPr="00E24238" w:rsidRDefault="00022CB8" w:rsidP="00F017A4">
      <w:pPr>
        <w:pStyle w:val="Texto"/>
        <w:spacing w:line="250" w:lineRule="exact"/>
        <w:ind w:left="720" w:right="720"/>
        <w:rPr>
          <w:szCs w:val="23"/>
          <w:lang w:val="es-MX"/>
        </w:rPr>
      </w:pPr>
      <w:r w:rsidRPr="00E24238">
        <w:rPr>
          <w:szCs w:val="23"/>
          <w:lang w:val="es-MX"/>
        </w:rPr>
        <w:lastRenderedPageBreak/>
        <w:t>II.- Su capital social será variable de acuerdo a lo siguiente:</w:t>
      </w:r>
    </w:p>
    <w:p w14:paraId="2E93CACE" w14:textId="77777777" w:rsidR="00022CB8" w:rsidRPr="00E24238" w:rsidRDefault="00022CB8" w:rsidP="00F017A4">
      <w:pPr>
        <w:pStyle w:val="Texto"/>
        <w:spacing w:line="250" w:lineRule="exact"/>
        <w:ind w:left="720" w:right="720"/>
        <w:rPr>
          <w:szCs w:val="23"/>
          <w:lang w:val="es-MX"/>
        </w:rPr>
      </w:pPr>
      <w:r w:rsidRPr="00E24238">
        <w:rPr>
          <w:szCs w:val="23"/>
          <w:lang w:val="es-MX"/>
        </w:rPr>
        <w:t>a)</w:t>
      </w:r>
      <w:r w:rsidRPr="00E24238">
        <w:rPr>
          <w:szCs w:val="23"/>
          <w:lang w:val="es-MX"/>
        </w:rPr>
        <w:tab/>
        <w:t>El capital mínimo fijo sin derecho a retiro será de veintinueve millones ciento veintitrés mil cuarenta y cinco pesos, Moneda Nacional.</w:t>
      </w:r>
    </w:p>
    <w:p w14:paraId="76D7FA3A" w14:textId="77777777" w:rsidR="00022CB8" w:rsidRPr="00E24238" w:rsidRDefault="00022CB8" w:rsidP="00F017A4">
      <w:pPr>
        <w:pStyle w:val="Texto"/>
        <w:spacing w:line="250" w:lineRule="exact"/>
        <w:ind w:left="720" w:right="720"/>
        <w:rPr>
          <w:szCs w:val="23"/>
          <w:lang w:val="es-MX"/>
        </w:rPr>
      </w:pPr>
      <w:r w:rsidRPr="00E24238">
        <w:rPr>
          <w:szCs w:val="23"/>
          <w:lang w:val="es-MX"/>
        </w:rPr>
        <w:t>b)</w:t>
      </w:r>
      <w:r w:rsidRPr="00E24238">
        <w:rPr>
          <w:szCs w:val="23"/>
          <w:lang w:val="es-MX"/>
        </w:rPr>
        <w:tab/>
        <w:t>El capital variable con derecho a retiro en ningún caso podrá ser superior al capital pagado sin derecho a retiro.</w:t>
      </w:r>
    </w:p>
    <w:p w14:paraId="56A78884" w14:textId="77777777" w:rsidR="00022CB8" w:rsidRPr="00E24238" w:rsidRDefault="00022CB8" w:rsidP="00F017A4">
      <w:pPr>
        <w:pStyle w:val="Texto"/>
        <w:spacing w:line="250" w:lineRule="exact"/>
        <w:ind w:left="720" w:right="720"/>
        <w:rPr>
          <w:szCs w:val="23"/>
          <w:lang w:val="es-MX"/>
        </w:rPr>
      </w:pPr>
      <w:r w:rsidRPr="00E24238">
        <w:rPr>
          <w:szCs w:val="23"/>
          <w:lang w:val="es-MX"/>
        </w:rPr>
        <w:t>III.- Su domicilio social será la Ciudad de México, Distrito Federal.</w:t>
      </w:r>
    </w:p>
    <w:p w14:paraId="742D1D1F" w14:textId="77777777" w:rsidR="00022CB8" w:rsidRPr="00E24238" w:rsidRDefault="00022CB8" w:rsidP="00F017A4">
      <w:pPr>
        <w:pStyle w:val="Texto"/>
        <w:spacing w:line="250" w:lineRule="exact"/>
        <w:ind w:left="720" w:right="720"/>
        <w:rPr>
          <w:szCs w:val="23"/>
          <w:lang w:val="es-MX"/>
        </w:rPr>
      </w:pPr>
      <w:r w:rsidRPr="00E24238">
        <w:rPr>
          <w:szCs w:val="23"/>
          <w:lang w:val="es-MX"/>
        </w:rPr>
        <w:t>ARTÍCULO CUARTO.- Por su propia naturaleza, esta autorización es intransmisible.</w:t>
      </w:r>
    </w:p>
    <w:p w14:paraId="01C3210E" w14:textId="77777777" w:rsidR="00022CB8" w:rsidRPr="00E24238" w:rsidRDefault="00022CB8" w:rsidP="00F017A4">
      <w:pPr>
        <w:pStyle w:val="Texto"/>
        <w:spacing w:line="250" w:lineRule="exact"/>
        <w:rPr>
          <w:szCs w:val="23"/>
          <w:lang w:val="es-MX"/>
        </w:rPr>
      </w:pPr>
      <w:r w:rsidRPr="00E24238">
        <w:rPr>
          <w:szCs w:val="23"/>
          <w:lang w:val="es-MX"/>
        </w:rPr>
        <w:t xml:space="preserve">Tercero.- </w:t>
      </w:r>
      <w:r w:rsidRPr="00E24238">
        <w:rPr>
          <w:szCs w:val="23"/>
        </w:rPr>
        <w:t xml:space="preserve">La presente resolución se publicará en el Diario Oficial de la Federación, a costa de </w:t>
      </w:r>
      <w:r w:rsidRPr="00E24238">
        <w:rPr>
          <w:szCs w:val="23"/>
          <w:lang w:val="es-MX"/>
        </w:rPr>
        <w:t>Armour Secure Insurance, S.A. de C.V.</w:t>
      </w:r>
      <w:r w:rsidRPr="00E24238">
        <w:rPr>
          <w:szCs w:val="23"/>
        </w:rPr>
        <w:t>, de conformidad con lo establecido en el artículo 17 de la Ley General de Instituciones y Sociedades Mutualistas de Seguros.</w:t>
      </w:r>
    </w:p>
    <w:p w14:paraId="35D7D40D" w14:textId="77777777" w:rsidR="00022CB8" w:rsidRDefault="00022CB8" w:rsidP="00F017A4">
      <w:pPr>
        <w:pStyle w:val="Texto"/>
        <w:spacing w:line="250" w:lineRule="exact"/>
        <w:rPr>
          <w:szCs w:val="23"/>
        </w:rPr>
      </w:pPr>
      <w:r w:rsidRPr="00E24238">
        <w:rPr>
          <w:szCs w:val="23"/>
        </w:rPr>
        <w:t>Atentamente</w:t>
      </w:r>
    </w:p>
    <w:p w14:paraId="33EED8E2" w14:textId="77777777" w:rsidR="00022CB8" w:rsidRDefault="00022CB8" w:rsidP="00F017A4">
      <w:pPr>
        <w:pStyle w:val="Texto"/>
        <w:spacing w:line="250" w:lineRule="exact"/>
        <w:rPr>
          <w:szCs w:val="23"/>
        </w:rPr>
      </w:pPr>
      <w:r w:rsidRPr="00E24238">
        <w:rPr>
          <w:szCs w:val="23"/>
        </w:rPr>
        <w:t>México, D. F., a 16 de abril de 2015</w:t>
      </w:r>
      <w:r>
        <w:rPr>
          <w:szCs w:val="23"/>
        </w:rPr>
        <w:t xml:space="preserve">.- </w:t>
      </w:r>
      <w:r w:rsidRPr="00E24238">
        <w:rPr>
          <w:szCs w:val="23"/>
        </w:rPr>
        <w:t>La Directora General Adjunta,</w:t>
      </w:r>
      <w:r>
        <w:rPr>
          <w:szCs w:val="23"/>
        </w:rPr>
        <w:t xml:space="preserve"> </w:t>
      </w:r>
      <w:r w:rsidRPr="00E24238">
        <w:rPr>
          <w:b/>
          <w:szCs w:val="23"/>
        </w:rPr>
        <w:t>Yolanda Torres Segarra</w:t>
      </w:r>
      <w:r>
        <w:rPr>
          <w:szCs w:val="23"/>
        </w:rPr>
        <w:t>.- Rúbrica.</w:t>
      </w:r>
    </w:p>
    <w:p w14:paraId="6D031EA1" w14:textId="77777777" w:rsidR="00C60079" w:rsidRDefault="00022CB8" w:rsidP="00022CB8">
      <w:pPr>
        <w:pStyle w:val="Texto"/>
        <w:spacing w:line="264" w:lineRule="exact"/>
        <w:jc w:val="right"/>
        <w:rPr>
          <w:b/>
          <w:szCs w:val="23"/>
        </w:rPr>
      </w:pPr>
      <w:r>
        <w:rPr>
          <w:b/>
          <w:szCs w:val="23"/>
        </w:rPr>
        <w:t>(R.- 501632)</w:t>
      </w:r>
    </w:p>
    <w:sectPr w:rsidR="00C60079" w:rsidSect="00F017A4">
      <w:headerReference w:type="even" r:id="rId14"/>
      <w:headerReference w:type="default" r:id="rId15"/>
      <w:pgSz w:w="12240" w:h="15840"/>
      <w:pgMar w:top="1152" w:right="1699" w:bottom="1296" w:left="1699" w:header="706" w:footer="706" w:gutter="0"/>
      <w:pgNumType w:start="26"/>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9181C" w14:textId="77777777" w:rsidR="00AD15E1" w:rsidRDefault="00AD15E1">
      <w:r>
        <w:separator/>
      </w:r>
    </w:p>
  </w:endnote>
  <w:endnote w:type="continuationSeparator" w:id="0">
    <w:p w14:paraId="254C3CA5" w14:textId="77777777" w:rsidR="00AD15E1" w:rsidRDefault="00AD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G Palacio (WN)">
    <w:panose1 w:val="020B06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0000000000000000000"/>
    <w:charset w:val="00"/>
    <w:family w:val="auto"/>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E472D" w14:textId="77777777" w:rsidR="00AD15E1" w:rsidRDefault="00AD15E1">
      <w:r>
        <w:separator/>
      </w:r>
    </w:p>
  </w:footnote>
  <w:footnote w:type="continuationSeparator" w:id="0">
    <w:p w14:paraId="4FA53217" w14:textId="77777777" w:rsidR="00AD15E1" w:rsidRDefault="00AD1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10193" w14:textId="77777777" w:rsidR="006A6551" w:rsidRPr="00C60079" w:rsidRDefault="006A6551" w:rsidP="00054A7A">
    <w:pPr>
      <w:pStyle w:val="Fechas"/>
      <w:rPr>
        <w:rFonts w:cs="Times New Roman"/>
      </w:rPr>
    </w:pPr>
    <w:r w:rsidRPr="00C60079">
      <w:rPr>
        <w:rFonts w:cs="Times New Roman"/>
      </w:rPr>
      <w:tab/>
      <w:t>DIARIO OFICIAL</w:t>
    </w:r>
    <w:r w:rsidRPr="00C60079">
      <w:rPr>
        <w:rFonts w:cs="Times New Roman"/>
      </w:rPr>
      <w:tab/>
      <w:t>Miércoles 16 de diciembre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D8854" w14:textId="77777777" w:rsidR="006A6551" w:rsidRPr="00C60079" w:rsidRDefault="006A6551" w:rsidP="00054A7A">
    <w:pPr>
      <w:pStyle w:val="Fechas"/>
      <w:rPr>
        <w:rFonts w:cs="Times New Roman"/>
      </w:rPr>
    </w:pPr>
    <w:r w:rsidRPr="00C60079">
      <w:rPr>
        <w:rFonts w:cs="Times New Roman"/>
      </w:rPr>
      <w:t>Miércoles 16 de diciembre de 2020</w:t>
    </w:r>
    <w:r w:rsidRPr="00C60079">
      <w:rPr>
        <w:rFonts w:cs="Times New Roman"/>
      </w:rPr>
      <w:tab/>
      <w:t>DIARIO OFICIAL</w:t>
    </w:r>
    <w:r w:rsidRPr="00C60079">
      <w:rPr>
        <w:rFonts w:cs="Times New Roman"/>
      </w:rPr>
      <w:tab/>
    </w:r>
    <w:r w:rsidR="00C60079">
      <w:rPr>
        <w:rFonts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06"/>
  <w:hyphenationZone w:val="425"/>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338"/>
    <w:rsid w:val="00007D5B"/>
    <w:rsid w:val="00022CB8"/>
    <w:rsid w:val="00023FDE"/>
    <w:rsid w:val="00025505"/>
    <w:rsid w:val="00030FA7"/>
    <w:rsid w:val="00035FA4"/>
    <w:rsid w:val="000468AF"/>
    <w:rsid w:val="00046AF3"/>
    <w:rsid w:val="00047AFF"/>
    <w:rsid w:val="00054A7A"/>
    <w:rsid w:val="000643A3"/>
    <w:rsid w:val="00070CDB"/>
    <w:rsid w:val="0008366A"/>
    <w:rsid w:val="00083B96"/>
    <w:rsid w:val="00085CFF"/>
    <w:rsid w:val="00090755"/>
    <w:rsid w:val="000934C4"/>
    <w:rsid w:val="000B42E5"/>
    <w:rsid w:val="000B698E"/>
    <w:rsid w:val="000C50D4"/>
    <w:rsid w:val="000C632A"/>
    <w:rsid w:val="000E6BF1"/>
    <w:rsid w:val="000F0FA3"/>
    <w:rsid w:val="000F3ABE"/>
    <w:rsid w:val="000F706A"/>
    <w:rsid w:val="0010703B"/>
    <w:rsid w:val="00125FF7"/>
    <w:rsid w:val="001271F2"/>
    <w:rsid w:val="001303A7"/>
    <w:rsid w:val="00140A5C"/>
    <w:rsid w:val="001433F3"/>
    <w:rsid w:val="00155A7E"/>
    <w:rsid w:val="001574EC"/>
    <w:rsid w:val="00163AE3"/>
    <w:rsid w:val="001642EF"/>
    <w:rsid w:val="00173E9D"/>
    <w:rsid w:val="001748E8"/>
    <w:rsid w:val="00176B02"/>
    <w:rsid w:val="00181964"/>
    <w:rsid w:val="001866BB"/>
    <w:rsid w:val="00195422"/>
    <w:rsid w:val="001A1CAD"/>
    <w:rsid w:val="001A2BCE"/>
    <w:rsid w:val="001B1144"/>
    <w:rsid w:val="001B6981"/>
    <w:rsid w:val="001C1847"/>
    <w:rsid w:val="001C1DC9"/>
    <w:rsid w:val="001D1766"/>
    <w:rsid w:val="001E6CB1"/>
    <w:rsid w:val="001F09BB"/>
    <w:rsid w:val="001F6325"/>
    <w:rsid w:val="0020245C"/>
    <w:rsid w:val="00207922"/>
    <w:rsid w:val="002214D8"/>
    <w:rsid w:val="0025082C"/>
    <w:rsid w:val="00254852"/>
    <w:rsid w:val="00255299"/>
    <w:rsid w:val="002603ED"/>
    <w:rsid w:val="00261ACB"/>
    <w:rsid w:val="00261B8D"/>
    <w:rsid w:val="00282554"/>
    <w:rsid w:val="00285BE5"/>
    <w:rsid w:val="00286668"/>
    <w:rsid w:val="00286818"/>
    <w:rsid w:val="00290296"/>
    <w:rsid w:val="0029033A"/>
    <w:rsid w:val="00291CA7"/>
    <w:rsid w:val="002940B6"/>
    <w:rsid w:val="002A7A50"/>
    <w:rsid w:val="002B00EE"/>
    <w:rsid w:val="002B127D"/>
    <w:rsid w:val="002B37B4"/>
    <w:rsid w:val="002B3857"/>
    <w:rsid w:val="002C15EB"/>
    <w:rsid w:val="002C3644"/>
    <w:rsid w:val="002D476D"/>
    <w:rsid w:val="002E0094"/>
    <w:rsid w:val="002F6279"/>
    <w:rsid w:val="002F666A"/>
    <w:rsid w:val="0030321A"/>
    <w:rsid w:val="00306951"/>
    <w:rsid w:val="00323864"/>
    <w:rsid w:val="0032394E"/>
    <w:rsid w:val="003264DE"/>
    <w:rsid w:val="00326B04"/>
    <w:rsid w:val="00330780"/>
    <w:rsid w:val="003340A4"/>
    <w:rsid w:val="00357A6B"/>
    <w:rsid w:val="0036410B"/>
    <w:rsid w:val="00364CC3"/>
    <w:rsid w:val="003656C6"/>
    <w:rsid w:val="00373DFE"/>
    <w:rsid w:val="00374F70"/>
    <w:rsid w:val="0039202C"/>
    <w:rsid w:val="003958AA"/>
    <w:rsid w:val="003967FE"/>
    <w:rsid w:val="003A09A3"/>
    <w:rsid w:val="003B2214"/>
    <w:rsid w:val="003B46F2"/>
    <w:rsid w:val="003C5EB9"/>
    <w:rsid w:val="003D3A40"/>
    <w:rsid w:val="003D6457"/>
    <w:rsid w:val="003E5783"/>
    <w:rsid w:val="003E7472"/>
    <w:rsid w:val="003F0253"/>
    <w:rsid w:val="00410B8C"/>
    <w:rsid w:val="00412ED6"/>
    <w:rsid w:val="004142D5"/>
    <w:rsid w:val="004273D0"/>
    <w:rsid w:val="0042779F"/>
    <w:rsid w:val="004352A9"/>
    <w:rsid w:val="00440349"/>
    <w:rsid w:val="0044530C"/>
    <w:rsid w:val="00453D17"/>
    <w:rsid w:val="00463C9D"/>
    <w:rsid w:val="0046400A"/>
    <w:rsid w:val="00464085"/>
    <w:rsid w:val="004652D9"/>
    <w:rsid w:val="00465E99"/>
    <w:rsid w:val="0047371F"/>
    <w:rsid w:val="00475BE2"/>
    <w:rsid w:val="00491FF9"/>
    <w:rsid w:val="004A7426"/>
    <w:rsid w:val="004B2F2C"/>
    <w:rsid w:val="004B33CD"/>
    <w:rsid w:val="004C174C"/>
    <w:rsid w:val="004C49C6"/>
    <w:rsid w:val="004D4A72"/>
    <w:rsid w:val="004E6B1F"/>
    <w:rsid w:val="004E77FB"/>
    <w:rsid w:val="004F3FE9"/>
    <w:rsid w:val="004F6559"/>
    <w:rsid w:val="00502367"/>
    <w:rsid w:val="00512CDB"/>
    <w:rsid w:val="00514993"/>
    <w:rsid w:val="00522551"/>
    <w:rsid w:val="00526356"/>
    <w:rsid w:val="00534337"/>
    <w:rsid w:val="00534A44"/>
    <w:rsid w:val="0053581A"/>
    <w:rsid w:val="00535845"/>
    <w:rsid w:val="0054345D"/>
    <w:rsid w:val="005438AB"/>
    <w:rsid w:val="00543991"/>
    <w:rsid w:val="0054733E"/>
    <w:rsid w:val="0055349C"/>
    <w:rsid w:val="00567317"/>
    <w:rsid w:val="005724B9"/>
    <w:rsid w:val="005A0268"/>
    <w:rsid w:val="005A0954"/>
    <w:rsid w:val="005C4019"/>
    <w:rsid w:val="005C75DE"/>
    <w:rsid w:val="005D3024"/>
    <w:rsid w:val="005D3C09"/>
    <w:rsid w:val="005D4388"/>
    <w:rsid w:val="005D7D14"/>
    <w:rsid w:val="005F3A5F"/>
    <w:rsid w:val="005F4AC0"/>
    <w:rsid w:val="00610918"/>
    <w:rsid w:val="006231E1"/>
    <w:rsid w:val="00627360"/>
    <w:rsid w:val="00627D1A"/>
    <w:rsid w:val="0063495E"/>
    <w:rsid w:val="00634C63"/>
    <w:rsid w:val="00656CFF"/>
    <w:rsid w:val="00670946"/>
    <w:rsid w:val="006711A8"/>
    <w:rsid w:val="00674139"/>
    <w:rsid w:val="00681BC5"/>
    <w:rsid w:val="00685DC5"/>
    <w:rsid w:val="00686752"/>
    <w:rsid w:val="00691836"/>
    <w:rsid w:val="0069357B"/>
    <w:rsid w:val="00697B7C"/>
    <w:rsid w:val="006A6551"/>
    <w:rsid w:val="006B7539"/>
    <w:rsid w:val="006C2B8F"/>
    <w:rsid w:val="006C30AE"/>
    <w:rsid w:val="006D1D44"/>
    <w:rsid w:val="006D2E40"/>
    <w:rsid w:val="006E2487"/>
    <w:rsid w:val="006E4EE3"/>
    <w:rsid w:val="006E66EC"/>
    <w:rsid w:val="006F785A"/>
    <w:rsid w:val="0070415B"/>
    <w:rsid w:val="00717A6D"/>
    <w:rsid w:val="00724703"/>
    <w:rsid w:val="00735E9D"/>
    <w:rsid w:val="00737435"/>
    <w:rsid w:val="00741ABD"/>
    <w:rsid w:val="00746FC8"/>
    <w:rsid w:val="00750073"/>
    <w:rsid w:val="007516A7"/>
    <w:rsid w:val="007570C1"/>
    <w:rsid w:val="007578BE"/>
    <w:rsid w:val="00793D07"/>
    <w:rsid w:val="00797AB4"/>
    <w:rsid w:val="00797DCB"/>
    <w:rsid w:val="007A0956"/>
    <w:rsid w:val="007D00B8"/>
    <w:rsid w:val="007D0C3B"/>
    <w:rsid w:val="007D1689"/>
    <w:rsid w:val="007D286A"/>
    <w:rsid w:val="007E5C2D"/>
    <w:rsid w:val="008065AF"/>
    <w:rsid w:val="00816C4D"/>
    <w:rsid w:val="00827CE1"/>
    <w:rsid w:val="0083080F"/>
    <w:rsid w:val="00832E88"/>
    <w:rsid w:val="008412BC"/>
    <w:rsid w:val="00842BE6"/>
    <w:rsid w:val="00842FB8"/>
    <w:rsid w:val="008651ED"/>
    <w:rsid w:val="00865490"/>
    <w:rsid w:val="00875A59"/>
    <w:rsid w:val="00877B39"/>
    <w:rsid w:val="0088165A"/>
    <w:rsid w:val="008918DC"/>
    <w:rsid w:val="008922B8"/>
    <w:rsid w:val="0089558E"/>
    <w:rsid w:val="00896338"/>
    <w:rsid w:val="008A0F8C"/>
    <w:rsid w:val="008A23F3"/>
    <w:rsid w:val="008B5BD2"/>
    <w:rsid w:val="008C46C1"/>
    <w:rsid w:val="008D06EA"/>
    <w:rsid w:val="008D17A5"/>
    <w:rsid w:val="008E35DF"/>
    <w:rsid w:val="008F06A2"/>
    <w:rsid w:val="008F3C8E"/>
    <w:rsid w:val="008F5142"/>
    <w:rsid w:val="008F7A18"/>
    <w:rsid w:val="00913D77"/>
    <w:rsid w:val="009167A0"/>
    <w:rsid w:val="009200A2"/>
    <w:rsid w:val="009329FB"/>
    <w:rsid w:val="00945F33"/>
    <w:rsid w:val="00947152"/>
    <w:rsid w:val="00975511"/>
    <w:rsid w:val="009855BF"/>
    <w:rsid w:val="009932CA"/>
    <w:rsid w:val="009A7654"/>
    <w:rsid w:val="009C02DA"/>
    <w:rsid w:val="009E1274"/>
    <w:rsid w:val="009E1AC6"/>
    <w:rsid w:val="009E3B35"/>
    <w:rsid w:val="009E63EA"/>
    <w:rsid w:val="009F050F"/>
    <w:rsid w:val="00A31E9B"/>
    <w:rsid w:val="00A333DC"/>
    <w:rsid w:val="00A35007"/>
    <w:rsid w:val="00A35A4B"/>
    <w:rsid w:val="00A53D31"/>
    <w:rsid w:val="00A5438B"/>
    <w:rsid w:val="00A61C50"/>
    <w:rsid w:val="00A7010C"/>
    <w:rsid w:val="00A73F8A"/>
    <w:rsid w:val="00A76032"/>
    <w:rsid w:val="00A77063"/>
    <w:rsid w:val="00A8099D"/>
    <w:rsid w:val="00A81D62"/>
    <w:rsid w:val="00A84922"/>
    <w:rsid w:val="00A90AE8"/>
    <w:rsid w:val="00A971BB"/>
    <w:rsid w:val="00A9790E"/>
    <w:rsid w:val="00AA7550"/>
    <w:rsid w:val="00AB03CC"/>
    <w:rsid w:val="00AB7088"/>
    <w:rsid w:val="00AC2AA2"/>
    <w:rsid w:val="00AD15E1"/>
    <w:rsid w:val="00AD24D5"/>
    <w:rsid w:val="00AD54E0"/>
    <w:rsid w:val="00AE00D6"/>
    <w:rsid w:val="00AE7240"/>
    <w:rsid w:val="00AF694B"/>
    <w:rsid w:val="00B00632"/>
    <w:rsid w:val="00B073A2"/>
    <w:rsid w:val="00B14C29"/>
    <w:rsid w:val="00B16746"/>
    <w:rsid w:val="00B170E8"/>
    <w:rsid w:val="00B17DFA"/>
    <w:rsid w:val="00B3769E"/>
    <w:rsid w:val="00B437CD"/>
    <w:rsid w:val="00B63531"/>
    <w:rsid w:val="00B7008A"/>
    <w:rsid w:val="00B717B3"/>
    <w:rsid w:val="00B859B6"/>
    <w:rsid w:val="00B86A48"/>
    <w:rsid w:val="00B90FFD"/>
    <w:rsid w:val="00BB1CCD"/>
    <w:rsid w:val="00BB26D3"/>
    <w:rsid w:val="00BF091C"/>
    <w:rsid w:val="00BF1CE3"/>
    <w:rsid w:val="00C009E0"/>
    <w:rsid w:val="00C01B5D"/>
    <w:rsid w:val="00C258E4"/>
    <w:rsid w:val="00C5515A"/>
    <w:rsid w:val="00C563D2"/>
    <w:rsid w:val="00C60079"/>
    <w:rsid w:val="00C7152E"/>
    <w:rsid w:val="00C72F0B"/>
    <w:rsid w:val="00C8415B"/>
    <w:rsid w:val="00C9060E"/>
    <w:rsid w:val="00C91B84"/>
    <w:rsid w:val="00C96371"/>
    <w:rsid w:val="00C97590"/>
    <w:rsid w:val="00C97E32"/>
    <w:rsid w:val="00CA0BAE"/>
    <w:rsid w:val="00CA2FDC"/>
    <w:rsid w:val="00CA3BBA"/>
    <w:rsid w:val="00CB318C"/>
    <w:rsid w:val="00CB6995"/>
    <w:rsid w:val="00CC0602"/>
    <w:rsid w:val="00CC39A6"/>
    <w:rsid w:val="00CC71C5"/>
    <w:rsid w:val="00CD6850"/>
    <w:rsid w:val="00CE06BF"/>
    <w:rsid w:val="00CF3B2E"/>
    <w:rsid w:val="00CF6193"/>
    <w:rsid w:val="00D04785"/>
    <w:rsid w:val="00D136A7"/>
    <w:rsid w:val="00D32C7D"/>
    <w:rsid w:val="00D34588"/>
    <w:rsid w:val="00D3478E"/>
    <w:rsid w:val="00D34D1C"/>
    <w:rsid w:val="00D36C73"/>
    <w:rsid w:val="00D42FD2"/>
    <w:rsid w:val="00D54C2F"/>
    <w:rsid w:val="00D60AAD"/>
    <w:rsid w:val="00D64953"/>
    <w:rsid w:val="00D72499"/>
    <w:rsid w:val="00D87572"/>
    <w:rsid w:val="00DA0A97"/>
    <w:rsid w:val="00DB3001"/>
    <w:rsid w:val="00DB4A71"/>
    <w:rsid w:val="00DB4FFE"/>
    <w:rsid w:val="00DC4962"/>
    <w:rsid w:val="00DE4C7A"/>
    <w:rsid w:val="00DF6036"/>
    <w:rsid w:val="00DF6BC3"/>
    <w:rsid w:val="00E01296"/>
    <w:rsid w:val="00E21F6A"/>
    <w:rsid w:val="00E30B22"/>
    <w:rsid w:val="00E3798A"/>
    <w:rsid w:val="00E42835"/>
    <w:rsid w:val="00E4388F"/>
    <w:rsid w:val="00E46007"/>
    <w:rsid w:val="00E460F3"/>
    <w:rsid w:val="00E50177"/>
    <w:rsid w:val="00E5027B"/>
    <w:rsid w:val="00E5626A"/>
    <w:rsid w:val="00E772E5"/>
    <w:rsid w:val="00E82585"/>
    <w:rsid w:val="00E8621C"/>
    <w:rsid w:val="00E90E7F"/>
    <w:rsid w:val="00EA097B"/>
    <w:rsid w:val="00EA0ABD"/>
    <w:rsid w:val="00EA4096"/>
    <w:rsid w:val="00EA46E7"/>
    <w:rsid w:val="00EA6075"/>
    <w:rsid w:val="00EB1636"/>
    <w:rsid w:val="00EB3C2A"/>
    <w:rsid w:val="00EE6353"/>
    <w:rsid w:val="00EF1962"/>
    <w:rsid w:val="00EF226B"/>
    <w:rsid w:val="00EF4AC7"/>
    <w:rsid w:val="00F007E0"/>
    <w:rsid w:val="00F00937"/>
    <w:rsid w:val="00F017A4"/>
    <w:rsid w:val="00F0429A"/>
    <w:rsid w:val="00F049B3"/>
    <w:rsid w:val="00F21CED"/>
    <w:rsid w:val="00F22399"/>
    <w:rsid w:val="00F315C9"/>
    <w:rsid w:val="00F31F2D"/>
    <w:rsid w:val="00F429F7"/>
    <w:rsid w:val="00F42E31"/>
    <w:rsid w:val="00F512E2"/>
    <w:rsid w:val="00F51E5E"/>
    <w:rsid w:val="00F64B32"/>
    <w:rsid w:val="00F70C4B"/>
    <w:rsid w:val="00F76B05"/>
    <w:rsid w:val="00F808C0"/>
    <w:rsid w:val="00F81BAD"/>
    <w:rsid w:val="00F83712"/>
    <w:rsid w:val="00F84AC0"/>
    <w:rsid w:val="00F859B1"/>
    <w:rsid w:val="00F85CA3"/>
    <w:rsid w:val="00F95C77"/>
    <w:rsid w:val="00FA672D"/>
    <w:rsid w:val="00FB2AB3"/>
    <w:rsid w:val="00FC03A2"/>
    <w:rsid w:val="00FC3E3F"/>
    <w:rsid w:val="00FC5DD1"/>
    <w:rsid w:val="00FD0D2C"/>
    <w:rsid w:val="00FD44E8"/>
    <w:rsid w:val="00FD7200"/>
    <w:rsid w:val="00FE2B24"/>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84161B1"/>
  <w15:chartTrackingRefBased/>
  <w15:docId w15:val="{D075D786-8E49-2745-BD02-87BB0AEB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character" w:customStyle="1" w:styleId="EncabezadoCar">
    <w:name w:val="Encabezado Car"/>
    <w:link w:val="Encabezado"/>
    <w:uiPriority w:val="99"/>
    <w:rsid w:val="00896338"/>
    <w:rPr>
      <w:sz w:val="24"/>
      <w:szCs w:val="24"/>
      <w:lang w:val="es-ES" w:eastAsia="es-ES"/>
    </w:rPr>
  </w:style>
  <w:style w:type="character" w:customStyle="1" w:styleId="PiedepginaCar">
    <w:name w:val="Pie de página Car"/>
    <w:link w:val="Piedepgina"/>
    <w:uiPriority w:val="99"/>
    <w:rsid w:val="00896338"/>
    <w:rPr>
      <w:sz w:val="24"/>
      <w:szCs w:val="24"/>
      <w:lang w:val="es-ES" w:eastAsia="es-ES"/>
    </w:rPr>
  </w:style>
  <w:style w:type="paragraph" w:styleId="NormalWeb">
    <w:name w:val="Normal (Web)"/>
    <w:basedOn w:val="Normal"/>
    <w:uiPriority w:val="99"/>
    <w:unhideWhenUsed/>
    <w:rsid w:val="00896338"/>
    <w:pPr>
      <w:spacing w:before="100" w:beforeAutospacing="1" w:after="100" w:afterAutospacing="1"/>
    </w:pPr>
    <w:rPr>
      <w:lang w:val="es-MX" w:eastAsia="es-MX"/>
    </w:rPr>
  </w:style>
  <w:style w:type="paragraph" w:styleId="Textodeglobo">
    <w:name w:val="Balloon Text"/>
    <w:basedOn w:val="Normal"/>
    <w:link w:val="TextodegloboCar"/>
    <w:uiPriority w:val="99"/>
    <w:semiHidden/>
    <w:unhideWhenUsed/>
    <w:rsid w:val="00EF4AC7"/>
    <w:rPr>
      <w:rFonts w:ascii="Segoe UI" w:hAnsi="Segoe UI" w:cs="Segoe UI"/>
      <w:sz w:val="18"/>
      <w:szCs w:val="18"/>
    </w:rPr>
  </w:style>
  <w:style w:type="character" w:customStyle="1" w:styleId="TextodegloboCar">
    <w:name w:val="Texto de globo Car"/>
    <w:link w:val="Textodeglobo"/>
    <w:uiPriority w:val="99"/>
    <w:semiHidden/>
    <w:rsid w:val="00EF4AC7"/>
    <w:rPr>
      <w:rFonts w:ascii="Segoe UI" w:hAnsi="Segoe UI" w:cs="Segoe UI"/>
      <w:sz w:val="18"/>
      <w:szCs w:val="18"/>
      <w:lang w:val="es-ES" w:eastAsia="es-ES"/>
    </w:rPr>
  </w:style>
  <w:style w:type="character" w:customStyle="1" w:styleId="FontStyle51">
    <w:name w:val="Font Style51"/>
    <w:uiPriority w:val="99"/>
    <w:rsid w:val="001271F2"/>
    <w:rPr>
      <w:rFonts w:ascii="Arial" w:hAnsi="Arial" w:cs="Arial"/>
      <w:b/>
      <w:bCs/>
      <w:color w:val="000000"/>
      <w:sz w:val="18"/>
      <w:szCs w:val="18"/>
    </w:rPr>
  </w:style>
  <w:style w:type="character" w:customStyle="1" w:styleId="FontStyle52">
    <w:name w:val="Font Style52"/>
    <w:uiPriority w:val="99"/>
    <w:rsid w:val="001271F2"/>
    <w:rPr>
      <w:rFonts w:ascii="Arial" w:hAnsi="Arial" w:cs="Arial"/>
      <w:color w:val="000000"/>
      <w:sz w:val="18"/>
      <w:szCs w:val="18"/>
    </w:rPr>
  </w:style>
  <w:style w:type="paragraph" w:customStyle="1" w:styleId="Sumario">
    <w:name w:val="Sumario"/>
    <w:basedOn w:val="Normal"/>
    <w:rsid w:val="00C60079"/>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C60079"/>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MODELO.dot</Template>
  <TotalTime>1</TotalTime>
  <Pages>18</Pages>
  <Words>9029</Words>
  <Characters>49663</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58575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C.P.C. Juan Antonio Zapata Zapata</cp:lastModifiedBy>
  <cp:revision>2</cp:revision>
  <cp:lastPrinted>2020-12-11T22:10:00Z</cp:lastPrinted>
  <dcterms:created xsi:type="dcterms:W3CDTF">2020-12-17T05:41:00Z</dcterms:created>
  <dcterms:modified xsi:type="dcterms:W3CDTF">2020-12-17T05:41:00Z</dcterms:modified>
</cp:coreProperties>
</file>